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E74892" w14:textId="77777777" w:rsidR="00D52470" w:rsidRDefault="00D52470" w:rsidP="008151B3">
      <w:pPr>
        <w:spacing w:line="276" w:lineRule="auto"/>
        <w:jc w:val="center"/>
        <w:rPr>
          <w:rFonts w:ascii="Times New Roman" w:hAnsi="Times New Roman" w:cs="Times New Roman"/>
          <w:b/>
          <w:bCs/>
          <w:noProof/>
          <w:lang w:val="ro-RO"/>
        </w:rPr>
      </w:pPr>
      <w:r w:rsidRPr="00A0486E">
        <w:rPr>
          <w:rFonts w:ascii="Times New Roman" w:hAnsi="Times New Roman" w:cs="Times New Roman"/>
          <w:b/>
          <w:bCs/>
          <w:noProof/>
          <w:lang w:val="ro-RO"/>
        </w:rPr>
        <w:t>RECOMANDĂRI - HIPERTENSIUNE ARTERIALĂ</w:t>
      </w:r>
    </w:p>
    <w:p w14:paraId="00E8D0F1" w14:textId="7EA4666B" w:rsidR="00E027C3" w:rsidRPr="00E027C3" w:rsidRDefault="00E027C3" w:rsidP="008151B3">
      <w:pPr>
        <w:spacing w:line="276" w:lineRule="auto"/>
        <w:jc w:val="center"/>
        <w:rPr>
          <w:rFonts w:ascii="Times New Roman" w:hAnsi="Times New Roman" w:cs="Times New Roman"/>
          <w:bCs/>
          <w:noProof/>
          <w:color w:val="FF0000"/>
          <w:sz w:val="28"/>
          <w:lang w:val="ro-RO"/>
        </w:rPr>
      </w:pPr>
      <w:r w:rsidRPr="00E027C3">
        <w:rPr>
          <w:rFonts w:ascii="Times New Roman" w:hAnsi="Times New Roman" w:cs="Times New Roman"/>
          <w:b/>
          <w:bCs/>
          <w:noProof/>
          <w:color w:val="FF0000"/>
          <w:sz w:val="28"/>
          <w:lang w:val="ro-RO"/>
        </w:rPr>
        <w:t>Reguli de măsurare corectă a tensiunii arteriale!</w:t>
      </w:r>
    </w:p>
    <w:p w14:paraId="44D7EDE5" w14:textId="77777777" w:rsidR="00D52470" w:rsidRPr="006B475F" w:rsidRDefault="00D52470" w:rsidP="008151B3">
      <w:pPr>
        <w:spacing w:line="276" w:lineRule="auto"/>
        <w:jc w:val="center"/>
        <w:rPr>
          <w:rFonts w:ascii="Times New Roman" w:hAnsi="Times New Roman" w:cs="Times New Roman"/>
          <w:b/>
          <w:bCs/>
          <w:noProof/>
          <w:u w:val="single"/>
          <w:lang w:val="ro-RO"/>
        </w:rPr>
      </w:pPr>
    </w:p>
    <w:p w14:paraId="2ACE308D" w14:textId="047468E5" w:rsidR="00D52470" w:rsidRDefault="00D52470" w:rsidP="008151B3">
      <w:pPr>
        <w:spacing w:line="276" w:lineRule="auto"/>
        <w:jc w:val="both"/>
        <w:rPr>
          <w:rFonts w:ascii="Times New Roman" w:hAnsi="Times New Roman" w:cs="Times New Roman"/>
          <w:noProof/>
          <w:lang w:val="ro-RO"/>
        </w:rPr>
      </w:pPr>
    </w:p>
    <w:tbl>
      <w:tblPr>
        <w:tblStyle w:val="TableGrid"/>
        <w:tblW w:w="0" w:type="auto"/>
        <w:tblLook w:val="04A0" w:firstRow="1" w:lastRow="0" w:firstColumn="1" w:lastColumn="0" w:noHBand="0" w:noVBand="1"/>
      </w:tblPr>
      <w:tblGrid>
        <w:gridCol w:w="1555"/>
        <w:gridCol w:w="7795"/>
      </w:tblGrid>
      <w:tr w:rsidR="00D52470" w14:paraId="19BE554B" w14:textId="77777777" w:rsidTr="00730FB9">
        <w:tc>
          <w:tcPr>
            <w:tcW w:w="1555" w:type="dxa"/>
            <w:vMerge w:val="restart"/>
            <w:shd w:val="clear" w:color="auto" w:fill="EBDEDA" w:themeFill="accent4" w:themeFillTint="33"/>
          </w:tcPr>
          <w:p w14:paraId="43295A34" w14:textId="77777777" w:rsidR="00D52470" w:rsidRDefault="00D52470" w:rsidP="008151B3">
            <w:pPr>
              <w:spacing w:line="276" w:lineRule="auto"/>
              <w:rPr>
                <w:rFonts w:ascii="Times New Roman" w:hAnsi="Times New Roman" w:cs="Times New Roman"/>
                <w:b/>
                <w:bCs/>
                <w:noProof/>
                <w:lang w:val="ro-RO"/>
              </w:rPr>
            </w:pPr>
          </w:p>
          <w:p w14:paraId="24765396" w14:textId="77777777" w:rsidR="00D52470" w:rsidRPr="00E67FF9" w:rsidRDefault="00D52470" w:rsidP="008151B3">
            <w:pPr>
              <w:spacing w:line="276" w:lineRule="auto"/>
              <w:jc w:val="center"/>
              <w:rPr>
                <w:rFonts w:ascii="Times New Roman" w:hAnsi="Times New Roman" w:cs="Times New Roman"/>
                <w:b/>
                <w:bCs/>
                <w:noProof/>
                <w:lang w:val="ro-RO"/>
              </w:rPr>
            </w:pPr>
            <w:r w:rsidRPr="00E67FF9">
              <w:rPr>
                <w:rFonts w:ascii="Times New Roman" w:hAnsi="Times New Roman" w:cs="Times New Roman"/>
                <w:b/>
                <w:bCs/>
                <w:noProof/>
                <w:lang w:val="ro-RO"/>
              </w:rPr>
              <w:t>Condiții</w:t>
            </w:r>
          </w:p>
        </w:tc>
        <w:tc>
          <w:tcPr>
            <w:tcW w:w="7795" w:type="dxa"/>
          </w:tcPr>
          <w:p w14:paraId="6A715B09" w14:textId="77777777" w:rsidR="00D52470" w:rsidRDefault="00D52470" w:rsidP="008151B3">
            <w:pPr>
              <w:spacing w:line="276" w:lineRule="auto"/>
              <w:jc w:val="both"/>
              <w:rPr>
                <w:rFonts w:ascii="Times New Roman" w:hAnsi="Times New Roman" w:cs="Times New Roman"/>
                <w:noProof/>
                <w:lang w:val="ro-RO"/>
              </w:rPr>
            </w:pPr>
            <w:r>
              <w:rPr>
                <w:rFonts w:ascii="Times New Roman" w:hAnsi="Times New Roman" w:cs="Times New Roman"/>
                <w:noProof/>
                <w:lang w:val="ro-RO"/>
              </w:rPr>
              <w:t>Evitați fumatul, consumul de cafea și exercițiile fizice cu 30 de minute anterior. Goliți vezica urinară.</w:t>
            </w:r>
          </w:p>
        </w:tc>
      </w:tr>
      <w:tr w:rsidR="00D52470" w14:paraId="13EE9A0F" w14:textId="77777777" w:rsidTr="00730FB9">
        <w:tc>
          <w:tcPr>
            <w:tcW w:w="1555" w:type="dxa"/>
            <w:vMerge/>
            <w:shd w:val="clear" w:color="auto" w:fill="EBDEDA" w:themeFill="accent4" w:themeFillTint="33"/>
          </w:tcPr>
          <w:p w14:paraId="35DADCBD" w14:textId="77777777" w:rsidR="00D52470" w:rsidRPr="00E67FF9" w:rsidRDefault="00D52470" w:rsidP="008151B3">
            <w:pPr>
              <w:spacing w:line="276" w:lineRule="auto"/>
              <w:jc w:val="center"/>
              <w:rPr>
                <w:rFonts w:ascii="Times New Roman" w:hAnsi="Times New Roman" w:cs="Times New Roman"/>
                <w:b/>
                <w:bCs/>
                <w:noProof/>
                <w:lang w:val="ro-RO"/>
              </w:rPr>
            </w:pPr>
          </w:p>
        </w:tc>
        <w:tc>
          <w:tcPr>
            <w:tcW w:w="7795" w:type="dxa"/>
          </w:tcPr>
          <w:p w14:paraId="285304DF" w14:textId="77777777" w:rsidR="00D52470" w:rsidRDefault="00D52470" w:rsidP="008151B3">
            <w:pPr>
              <w:spacing w:line="276" w:lineRule="auto"/>
              <w:jc w:val="both"/>
              <w:rPr>
                <w:rFonts w:ascii="Times New Roman" w:hAnsi="Times New Roman" w:cs="Times New Roman"/>
                <w:noProof/>
                <w:lang w:val="ro-RO"/>
              </w:rPr>
            </w:pPr>
            <w:r>
              <w:rPr>
                <w:rFonts w:ascii="Times New Roman" w:hAnsi="Times New Roman" w:cs="Times New Roman"/>
                <w:noProof/>
                <w:lang w:val="ro-RO"/>
              </w:rPr>
              <w:t>Rămâneți așezat timp de 3-5 minute într-o atmosferă liniștită, la o temperatură optimă.</w:t>
            </w:r>
          </w:p>
        </w:tc>
      </w:tr>
      <w:tr w:rsidR="00D52470" w14:paraId="026A6486" w14:textId="77777777" w:rsidTr="00730FB9">
        <w:tc>
          <w:tcPr>
            <w:tcW w:w="1555" w:type="dxa"/>
            <w:vMerge/>
            <w:shd w:val="clear" w:color="auto" w:fill="EBDEDA" w:themeFill="accent4" w:themeFillTint="33"/>
          </w:tcPr>
          <w:p w14:paraId="4398EA05" w14:textId="77777777" w:rsidR="00D52470" w:rsidRPr="00E67FF9" w:rsidRDefault="00D52470" w:rsidP="008151B3">
            <w:pPr>
              <w:spacing w:line="276" w:lineRule="auto"/>
              <w:jc w:val="center"/>
              <w:rPr>
                <w:rFonts w:ascii="Times New Roman" w:hAnsi="Times New Roman" w:cs="Times New Roman"/>
                <w:b/>
                <w:bCs/>
                <w:noProof/>
                <w:lang w:val="ro-RO"/>
              </w:rPr>
            </w:pPr>
          </w:p>
        </w:tc>
        <w:tc>
          <w:tcPr>
            <w:tcW w:w="7795" w:type="dxa"/>
          </w:tcPr>
          <w:p w14:paraId="5C56A0F9" w14:textId="77777777" w:rsidR="00D52470" w:rsidRDefault="00D52470" w:rsidP="008151B3">
            <w:pPr>
              <w:spacing w:line="276" w:lineRule="auto"/>
              <w:jc w:val="both"/>
              <w:rPr>
                <w:rFonts w:ascii="Times New Roman" w:hAnsi="Times New Roman" w:cs="Times New Roman"/>
                <w:noProof/>
                <w:lang w:val="ro-RO"/>
              </w:rPr>
            </w:pPr>
            <w:r>
              <w:rPr>
                <w:rFonts w:ascii="Times New Roman" w:hAnsi="Times New Roman" w:cs="Times New Roman"/>
                <w:noProof/>
                <w:lang w:val="ro-RO"/>
              </w:rPr>
              <w:t>Nu vorbiți înainte, în timpul sau între măsurători.</w:t>
            </w:r>
          </w:p>
        </w:tc>
      </w:tr>
      <w:tr w:rsidR="00D52470" w14:paraId="7FD87630" w14:textId="77777777" w:rsidTr="00730FB9">
        <w:tc>
          <w:tcPr>
            <w:tcW w:w="1555" w:type="dxa"/>
            <w:shd w:val="clear" w:color="auto" w:fill="EBDEDA" w:themeFill="accent4" w:themeFillTint="33"/>
          </w:tcPr>
          <w:p w14:paraId="469F2A04" w14:textId="77777777" w:rsidR="00D52470" w:rsidRDefault="00D52470" w:rsidP="008151B3">
            <w:pPr>
              <w:spacing w:line="276" w:lineRule="auto"/>
              <w:jc w:val="center"/>
              <w:rPr>
                <w:rFonts w:ascii="Times New Roman" w:hAnsi="Times New Roman" w:cs="Times New Roman"/>
                <w:b/>
                <w:bCs/>
                <w:noProof/>
                <w:lang w:val="ro-RO"/>
              </w:rPr>
            </w:pPr>
          </w:p>
          <w:p w14:paraId="631BC447" w14:textId="77777777" w:rsidR="00D52470" w:rsidRPr="00E67FF9" w:rsidRDefault="00D52470" w:rsidP="008151B3">
            <w:pPr>
              <w:spacing w:line="276" w:lineRule="auto"/>
              <w:jc w:val="center"/>
              <w:rPr>
                <w:rFonts w:ascii="Times New Roman" w:hAnsi="Times New Roman" w:cs="Times New Roman"/>
                <w:b/>
                <w:bCs/>
                <w:noProof/>
                <w:lang w:val="ro-RO"/>
              </w:rPr>
            </w:pPr>
            <w:r w:rsidRPr="00E67FF9">
              <w:rPr>
                <w:rFonts w:ascii="Times New Roman" w:hAnsi="Times New Roman" w:cs="Times New Roman"/>
                <w:b/>
                <w:bCs/>
                <w:noProof/>
                <w:lang w:val="ro-RO"/>
              </w:rPr>
              <w:t>Poziție</w:t>
            </w:r>
          </w:p>
        </w:tc>
        <w:tc>
          <w:tcPr>
            <w:tcW w:w="7795" w:type="dxa"/>
          </w:tcPr>
          <w:p w14:paraId="3B45CD0E" w14:textId="77777777" w:rsidR="00D52470" w:rsidRDefault="00D52470" w:rsidP="008151B3">
            <w:pPr>
              <w:spacing w:line="276" w:lineRule="auto"/>
              <w:jc w:val="both"/>
              <w:rPr>
                <w:rFonts w:ascii="Times New Roman" w:hAnsi="Times New Roman" w:cs="Times New Roman"/>
                <w:noProof/>
                <w:lang w:val="ro-RO"/>
              </w:rPr>
            </w:pPr>
            <w:r>
              <w:rPr>
                <w:rFonts w:ascii="Times New Roman" w:hAnsi="Times New Roman" w:cs="Times New Roman"/>
                <w:noProof/>
                <w:lang w:val="ro-RO"/>
              </w:rPr>
              <w:t>Așezați-vă pe un scaun ce oferă suport pentru spate, sprijiniți picioarele neîncrucișate de podea și membrul superior pe o masă, astfel încât brațul să fie la nivelul inimii, ca în figură.</w:t>
            </w:r>
          </w:p>
        </w:tc>
      </w:tr>
      <w:tr w:rsidR="00D52470" w14:paraId="721609CC" w14:textId="77777777" w:rsidTr="00730FB9">
        <w:tc>
          <w:tcPr>
            <w:tcW w:w="1555" w:type="dxa"/>
            <w:vMerge w:val="restart"/>
            <w:shd w:val="clear" w:color="auto" w:fill="EBDEDA" w:themeFill="accent4" w:themeFillTint="33"/>
          </w:tcPr>
          <w:p w14:paraId="2E3B030E" w14:textId="77777777" w:rsidR="00D52470" w:rsidRDefault="00D52470" w:rsidP="008151B3">
            <w:pPr>
              <w:spacing w:line="276" w:lineRule="auto"/>
              <w:jc w:val="center"/>
              <w:rPr>
                <w:rFonts w:ascii="Times New Roman" w:hAnsi="Times New Roman" w:cs="Times New Roman"/>
                <w:b/>
                <w:bCs/>
                <w:noProof/>
                <w:lang w:val="ro-RO"/>
              </w:rPr>
            </w:pPr>
          </w:p>
          <w:p w14:paraId="28F0EE0E" w14:textId="77777777" w:rsidR="00D52470" w:rsidRDefault="00D52470" w:rsidP="008151B3">
            <w:pPr>
              <w:spacing w:line="276" w:lineRule="auto"/>
              <w:jc w:val="center"/>
              <w:rPr>
                <w:rFonts w:ascii="Times New Roman" w:hAnsi="Times New Roman" w:cs="Times New Roman"/>
                <w:b/>
                <w:bCs/>
                <w:noProof/>
                <w:lang w:val="ro-RO"/>
              </w:rPr>
            </w:pPr>
          </w:p>
          <w:p w14:paraId="3DE94AE1" w14:textId="77777777" w:rsidR="00D52470" w:rsidRPr="00E67FF9" w:rsidRDefault="00D52470" w:rsidP="008151B3">
            <w:pPr>
              <w:spacing w:line="276" w:lineRule="auto"/>
              <w:jc w:val="center"/>
              <w:rPr>
                <w:rFonts w:ascii="Times New Roman" w:hAnsi="Times New Roman" w:cs="Times New Roman"/>
                <w:b/>
                <w:bCs/>
                <w:noProof/>
                <w:lang w:val="ro-RO"/>
              </w:rPr>
            </w:pPr>
            <w:r w:rsidRPr="00E67FF9">
              <w:rPr>
                <w:rFonts w:ascii="Times New Roman" w:hAnsi="Times New Roman" w:cs="Times New Roman"/>
                <w:b/>
                <w:bCs/>
                <w:noProof/>
                <w:lang w:val="ro-RO"/>
              </w:rPr>
              <w:t>Dispozitiv</w:t>
            </w:r>
          </w:p>
        </w:tc>
        <w:tc>
          <w:tcPr>
            <w:tcW w:w="7795" w:type="dxa"/>
          </w:tcPr>
          <w:p w14:paraId="39EA71A1" w14:textId="77777777" w:rsidR="00D52470" w:rsidRPr="006F4C56" w:rsidRDefault="00D52470" w:rsidP="008151B3">
            <w:pPr>
              <w:spacing w:line="276" w:lineRule="auto"/>
              <w:jc w:val="both"/>
              <w:rPr>
                <w:rFonts w:ascii="Times New Roman" w:hAnsi="Times New Roman" w:cs="Times New Roman"/>
                <w:noProof/>
                <w:lang w:val="ro-RO"/>
              </w:rPr>
            </w:pPr>
            <w:r>
              <w:rPr>
                <w:rFonts w:ascii="Times New Roman" w:hAnsi="Times New Roman" w:cs="Times New Roman"/>
                <w:noProof/>
                <w:lang w:val="ro-RO"/>
              </w:rPr>
              <w:t xml:space="preserve">Utilizați un tensiometru electronic sau manual de braț, cu o manșetă adecvată circumferinței brațului. Manșeta trebuie poziționată la </w:t>
            </w:r>
            <w:r>
              <w:rPr>
                <w:rFonts w:ascii="Times New Roman" w:hAnsi="Times New Roman" w:cs="Times New Roman"/>
                <w:noProof/>
              </w:rPr>
              <w:t>~</w:t>
            </w:r>
            <w:r>
              <w:rPr>
                <w:rFonts w:ascii="Times New Roman" w:hAnsi="Times New Roman" w:cs="Times New Roman"/>
                <w:noProof/>
                <w:lang w:val="ro-RO"/>
              </w:rPr>
              <w:t xml:space="preserve"> 3 cm deasupra plicii cotului, nu foarte strâns, astfel încât să existe </w:t>
            </w:r>
            <w:r>
              <w:rPr>
                <w:rFonts w:ascii="Times New Roman" w:hAnsi="Times New Roman" w:cs="Times New Roman"/>
                <w:noProof/>
              </w:rPr>
              <w:t xml:space="preserve">~ 1 cm </w:t>
            </w:r>
            <w:r>
              <w:rPr>
                <w:rFonts w:ascii="Times New Roman" w:hAnsi="Times New Roman" w:cs="Times New Roman"/>
                <w:noProof/>
                <w:lang w:val="ro-RO"/>
              </w:rPr>
              <w:t>între aceasta și brat.</w:t>
            </w:r>
          </w:p>
        </w:tc>
      </w:tr>
      <w:tr w:rsidR="00D52470" w14:paraId="2D6A36CE" w14:textId="77777777" w:rsidTr="00730FB9">
        <w:tc>
          <w:tcPr>
            <w:tcW w:w="1555" w:type="dxa"/>
            <w:vMerge/>
            <w:shd w:val="clear" w:color="auto" w:fill="EBDEDA" w:themeFill="accent4" w:themeFillTint="33"/>
          </w:tcPr>
          <w:p w14:paraId="5282CEEB" w14:textId="77777777" w:rsidR="00D52470" w:rsidRPr="00E67FF9" w:rsidRDefault="00D52470" w:rsidP="008151B3">
            <w:pPr>
              <w:spacing w:line="276" w:lineRule="auto"/>
              <w:jc w:val="center"/>
              <w:rPr>
                <w:rFonts w:ascii="Times New Roman" w:hAnsi="Times New Roman" w:cs="Times New Roman"/>
                <w:b/>
                <w:bCs/>
                <w:noProof/>
                <w:lang w:val="ro-RO"/>
              </w:rPr>
            </w:pPr>
          </w:p>
        </w:tc>
        <w:tc>
          <w:tcPr>
            <w:tcW w:w="7795" w:type="dxa"/>
          </w:tcPr>
          <w:p w14:paraId="7F48F84A" w14:textId="77777777" w:rsidR="00D52470" w:rsidRDefault="00D52470" w:rsidP="008151B3">
            <w:pPr>
              <w:spacing w:line="276" w:lineRule="auto"/>
              <w:jc w:val="both"/>
              <w:rPr>
                <w:rFonts w:ascii="Times New Roman" w:hAnsi="Times New Roman" w:cs="Times New Roman"/>
                <w:noProof/>
                <w:lang w:val="ro-RO"/>
              </w:rPr>
            </w:pPr>
            <w:r>
              <w:rPr>
                <w:rFonts w:ascii="Times New Roman" w:hAnsi="Times New Roman" w:cs="Times New Roman"/>
                <w:noProof/>
                <w:lang w:val="ro-RO"/>
              </w:rPr>
              <w:t>La prima măsurătoare din viață se recomandă determinarea tensiunii arteriale la ambele brațe, preferabil simultan. Dacă există o diferență peste 10 mmHg între brațe la măsurări repetate, folosiți brațul cu valorile mai mari pentru determinările ulterioare.</w:t>
            </w:r>
          </w:p>
        </w:tc>
      </w:tr>
      <w:tr w:rsidR="00D52470" w14:paraId="7607571D" w14:textId="77777777" w:rsidTr="00730FB9">
        <w:tc>
          <w:tcPr>
            <w:tcW w:w="1555" w:type="dxa"/>
            <w:vMerge w:val="restart"/>
            <w:shd w:val="clear" w:color="auto" w:fill="EBDEDA" w:themeFill="accent4" w:themeFillTint="33"/>
          </w:tcPr>
          <w:p w14:paraId="5EC5437E" w14:textId="77777777" w:rsidR="00D52470" w:rsidRDefault="00D52470" w:rsidP="008151B3">
            <w:pPr>
              <w:spacing w:line="276" w:lineRule="auto"/>
              <w:jc w:val="center"/>
              <w:rPr>
                <w:rFonts w:ascii="Times New Roman" w:hAnsi="Times New Roman" w:cs="Times New Roman"/>
                <w:b/>
                <w:bCs/>
                <w:noProof/>
                <w:lang w:val="ro-RO"/>
              </w:rPr>
            </w:pPr>
          </w:p>
          <w:p w14:paraId="50BB1DA0" w14:textId="77777777" w:rsidR="00D52470" w:rsidRDefault="00D52470" w:rsidP="008151B3">
            <w:pPr>
              <w:spacing w:line="276" w:lineRule="auto"/>
              <w:jc w:val="center"/>
              <w:rPr>
                <w:rFonts w:ascii="Times New Roman" w:hAnsi="Times New Roman" w:cs="Times New Roman"/>
                <w:b/>
                <w:bCs/>
                <w:noProof/>
                <w:lang w:val="ro-RO"/>
              </w:rPr>
            </w:pPr>
          </w:p>
          <w:p w14:paraId="356C6FB2" w14:textId="77777777" w:rsidR="00D52470" w:rsidRDefault="00D52470" w:rsidP="008151B3">
            <w:pPr>
              <w:spacing w:line="276" w:lineRule="auto"/>
              <w:jc w:val="center"/>
              <w:rPr>
                <w:rFonts w:ascii="Times New Roman" w:hAnsi="Times New Roman" w:cs="Times New Roman"/>
                <w:b/>
                <w:bCs/>
                <w:noProof/>
                <w:lang w:val="ro-RO"/>
              </w:rPr>
            </w:pPr>
          </w:p>
          <w:p w14:paraId="1C05E113" w14:textId="77777777" w:rsidR="00D52470" w:rsidRPr="00E67FF9" w:rsidRDefault="00D52470" w:rsidP="008151B3">
            <w:pPr>
              <w:spacing w:line="276" w:lineRule="auto"/>
              <w:jc w:val="center"/>
              <w:rPr>
                <w:rFonts w:ascii="Times New Roman" w:hAnsi="Times New Roman" w:cs="Times New Roman"/>
                <w:b/>
                <w:bCs/>
                <w:noProof/>
                <w:lang w:val="ro-RO"/>
              </w:rPr>
            </w:pPr>
            <w:r w:rsidRPr="00E67FF9">
              <w:rPr>
                <w:rFonts w:ascii="Times New Roman" w:hAnsi="Times New Roman" w:cs="Times New Roman"/>
                <w:b/>
                <w:bCs/>
                <w:noProof/>
                <w:lang w:val="ro-RO"/>
              </w:rPr>
              <w:t>Protocol</w:t>
            </w:r>
          </w:p>
        </w:tc>
        <w:tc>
          <w:tcPr>
            <w:tcW w:w="7795" w:type="dxa"/>
          </w:tcPr>
          <w:p w14:paraId="28984E7A" w14:textId="77777777" w:rsidR="00D52470" w:rsidRDefault="00D52470" w:rsidP="008151B3">
            <w:pPr>
              <w:spacing w:line="276" w:lineRule="auto"/>
              <w:jc w:val="both"/>
              <w:rPr>
                <w:rFonts w:ascii="Times New Roman" w:hAnsi="Times New Roman" w:cs="Times New Roman"/>
                <w:noProof/>
                <w:lang w:val="ro-RO"/>
              </w:rPr>
            </w:pPr>
            <w:r>
              <w:rPr>
                <w:rFonts w:ascii="Times New Roman" w:hAnsi="Times New Roman" w:cs="Times New Roman"/>
                <w:noProof/>
                <w:lang w:val="ro-RO"/>
              </w:rPr>
              <w:t>Măsurați de 3 ori tensiunea arterială, la interval de 1 minut. Media aritmetică a ultimelor două măsurători va fi notată în jurnalul tensiunii arteriale. Dacă valoarea primei măsurători este &lt; 135/85 mmHg nu sunt necesare determinări suplimentare.</w:t>
            </w:r>
          </w:p>
        </w:tc>
      </w:tr>
      <w:tr w:rsidR="00D52470" w14:paraId="418A52DA" w14:textId="77777777" w:rsidTr="00730FB9">
        <w:tc>
          <w:tcPr>
            <w:tcW w:w="1555" w:type="dxa"/>
            <w:vMerge/>
            <w:shd w:val="clear" w:color="auto" w:fill="EBDEDA" w:themeFill="accent4" w:themeFillTint="33"/>
          </w:tcPr>
          <w:p w14:paraId="12A5E79A" w14:textId="77777777" w:rsidR="00D52470" w:rsidRPr="00E67FF9" w:rsidRDefault="00D52470" w:rsidP="008151B3">
            <w:pPr>
              <w:spacing w:line="276" w:lineRule="auto"/>
              <w:jc w:val="center"/>
              <w:rPr>
                <w:rFonts w:ascii="Times New Roman" w:hAnsi="Times New Roman" w:cs="Times New Roman"/>
                <w:b/>
                <w:bCs/>
                <w:noProof/>
                <w:lang w:val="ro-RO"/>
              </w:rPr>
            </w:pPr>
          </w:p>
        </w:tc>
        <w:tc>
          <w:tcPr>
            <w:tcW w:w="7795" w:type="dxa"/>
          </w:tcPr>
          <w:p w14:paraId="01B2C05D" w14:textId="77777777" w:rsidR="00D52470" w:rsidRDefault="00D52470" w:rsidP="008151B3">
            <w:pPr>
              <w:spacing w:line="276" w:lineRule="auto"/>
              <w:jc w:val="both"/>
              <w:rPr>
                <w:rFonts w:ascii="Times New Roman" w:hAnsi="Times New Roman" w:cs="Times New Roman"/>
                <w:noProof/>
                <w:lang w:val="ro-RO"/>
              </w:rPr>
            </w:pPr>
            <w:r>
              <w:rPr>
                <w:rFonts w:ascii="Times New Roman" w:hAnsi="Times New Roman" w:cs="Times New Roman"/>
                <w:noProof/>
                <w:lang w:val="ro-RO"/>
              </w:rPr>
              <w:t xml:space="preserve">Măsurarea tensiunii arteriale se va face de cel puțin două ori pe zi, dimineața și seara, la </w:t>
            </w:r>
            <w:r w:rsidRPr="007A1DFC">
              <w:rPr>
                <w:rFonts w:ascii="Times New Roman" w:hAnsi="Times New Roman" w:cs="Times New Roman"/>
                <w:b/>
                <w:bCs/>
                <w:noProof/>
                <w:color w:val="FF0000"/>
                <w:lang w:val="ro-RO"/>
              </w:rPr>
              <w:t>1-2 ore de la administrarea medicației antihipertensive</w:t>
            </w:r>
            <w:r>
              <w:rPr>
                <w:rFonts w:ascii="Times New Roman" w:hAnsi="Times New Roman" w:cs="Times New Roman"/>
                <w:noProof/>
                <w:lang w:val="ro-RO"/>
              </w:rPr>
              <w:t xml:space="preserve">, timp de 7-10 zile până se stabilește o schemă terapeutică optimă. Ulterior, măsurarea tensiunii arteriale se va face de 1-2 pe săptămână. </w:t>
            </w:r>
          </w:p>
        </w:tc>
      </w:tr>
      <w:tr w:rsidR="00D52470" w14:paraId="60D05FE0" w14:textId="77777777" w:rsidTr="00730FB9">
        <w:tc>
          <w:tcPr>
            <w:tcW w:w="1555" w:type="dxa"/>
            <w:shd w:val="clear" w:color="auto" w:fill="EBDEDA" w:themeFill="accent4" w:themeFillTint="33"/>
          </w:tcPr>
          <w:p w14:paraId="72994F55" w14:textId="77777777" w:rsidR="00D52470" w:rsidRPr="00E67FF9" w:rsidRDefault="00D52470" w:rsidP="008151B3">
            <w:pPr>
              <w:spacing w:line="276" w:lineRule="auto"/>
              <w:jc w:val="center"/>
              <w:rPr>
                <w:rFonts w:ascii="Times New Roman" w:hAnsi="Times New Roman" w:cs="Times New Roman"/>
                <w:b/>
                <w:bCs/>
                <w:noProof/>
                <w:lang w:val="ro-RO"/>
              </w:rPr>
            </w:pPr>
            <w:r>
              <w:rPr>
                <w:rFonts w:ascii="Times New Roman" w:hAnsi="Times New Roman" w:cs="Times New Roman"/>
                <w:b/>
                <w:bCs/>
                <w:noProof/>
                <w:lang w:val="ro-RO"/>
              </w:rPr>
              <w:t>Interpretare</w:t>
            </w:r>
          </w:p>
        </w:tc>
        <w:tc>
          <w:tcPr>
            <w:tcW w:w="7795" w:type="dxa"/>
          </w:tcPr>
          <w:p w14:paraId="7E85746C" w14:textId="77777777" w:rsidR="00D52470" w:rsidRDefault="00D52470" w:rsidP="008151B3">
            <w:pPr>
              <w:spacing w:line="276" w:lineRule="auto"/>
              <w:jc w:val="both"/>
              <w:rPr>
                <w:rFonts w:ascii="Times New Roman" w:hAnsi="Times New Roman" w:cs="Times New Roman"/>
                <w:noProof/>
                <w:lang w:val="ro-RO"/>
              </w:rPr>
            </w:pPr>
            <w:r>
              <w:rPr>
                <w:rFonts w:ascii="Times New Roman" w:hAnsi="Times New Roman" w:cs="Times New Roman"/>
                <w:noProof/>
                <w:lang w:val="ro-RO"/>
              </w:rPr>
              <w:t>Se consideră valori tensionale crescute la domiciliu cele ≥ 135/85 mmHg.</w:t>
            </w:r>
          </w:p>
        </w:tc>
      </w:tr>
    </w:tbl>
    <w:p w14:paraId="34FAEBF8" w14:textId="77777777" w:rsidR="00D52470" w:rsidRDefault="00D52470" w:rsidP="008151B3">
      <w:pPr>
        <w:spacing w:line="276" w:lineRule="auto"/>
        <w:jc w:val="center"/>
        <w:rPr>
          <w:rFonts w:ascii="Times New Roman" w:hAnsi="Times New Roman" w:cs="Times New Roman"/>
          <w:noProof/>
          <w:lang w:val="ro-RO"/>
        </w:rPr>
      </w:pPr>
      <w:r>
        <w:rPr>
          <w:rFonts w:ascii="Times New Roman" w:hAnsi="Times New Roman" w:cs="Times New Roman"/>
          <w:noProof/>
        </w:rPr>
        <w:lastRenderedPageBreak/>
        <w:drawing>
          <wp:inline distT="0" distB="0" distL="0" distR="0" wp14:anchorId="3F28E33E" wp14:editId="26746CD8">
            <wp:extent cx="3622331" cy="29400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9" cstate="print">
                      <a:extLst>
                        <a:ext uri="{28A0092B-C50C-407E-A947-70E740481C1C}">
                          <a14:useLocalDpi xmlns:a14="http://schemas.microsoft.com/office/drawing/2010/main" val="0"/>
                        </a:ext>
                      </a:extLst>
                    </a:blip>
                    <a:stretch>
                      <a:fillRect/>
                    </a:stretch>
                  </pic:blipFill>
                  <pic:spPr>
                    <a:xfrm>
                      <a:off x="0" y="0"/>
                      <a:ext cx="3733753" cy="3030485"/>
                    </a:xfrm>
                    <a:prstGeom prst="rect">
                      <a:avLst/>
                    </a:prstGeom>
                  </pic:spPr>
                </pic:pic>
              </a:graphicData>
            </a:graphic>
          </wp:inline>
        </w:drawing>
      </w:r>
    </w:p>
    <w:p w14:paraId="193B4989" w14:textId="1EE54E36" w:rsidR="00D52470" w:rsidRPr="00F537EA" w:rsidRDefault="00E3766B" w:rsidP="00E3766B">
      <w:pPr>
        <w:spacing w:line="276" w:lineRule="auto"/>
        <w:rPr>
          <w:rFonts w:ascii="Times New Roman" w:hAnsi="Times New Roman" w:cs="Times New Roman"/>
          <w:noProof/>
          <w:sz w:val="16"/>
          <w:szCs w:val="16"/>
          <w:lang w:val="ro-RO"/>
        </w:rPr>
      </w:pPr>
      <w:r>
        <w:rPr>
          <w:rFonts w:ascii="Times New Roman" w:hAnsi="Times New Roman" w:cs="Times New Roman"/>
          <w:noProof/>
          <w:sz w:val="16"/>
          <w:szCs w:val="16"/>
          <w:lang w:val="ro-RO"/>
        </w:rPr>
        <w:t xml:space="preserve">                                                      </w:t>
      </w:r>
      <w:r w:rsidR="00D52470">
        <w:rPr>
          <w:rFonts w:ascii="Times New Roman" w:hAnsi="Times New Roman" w:cs="Times New Roman"/>
          <w:noProof/>
          <w:sz w:val="16"/>
          <w:szCs w:val="16"/>
          <w:lang w:val="ro-RO"/>
        </w:rPr>
        <w:t>*Imagine adaptată după Ghidul Canadian de Hipertensiune arterială</w:t>
      </w:r>
    </w:p>
    <w:p w14:paraId="1280C857" w14:textId="77777777" w:rsidR="00D52470" w:rsidRDefault="00D52470" w:rsidP="008151B3">
      <w:pPr>
        <w:spacing w:line="276" w:lineRule="auto"/>
        <w:jc w:val="both"/>
        <w:rPr>
          <w:rFonts w:ascii="Times New Roman" w:hAnsi="Times New Roman" w:cs="Times New Roman"/>
          <w:b/>
          <w:bCs/>
          <w:noProof/>
          <w:lang w:val="ro-RO"/>
        </w:rPr>
      </w:pPr>
      <w:r>
        <w:rPr>
          <w:rFonts w:ascii="Times New Roman" w:hAnsi="Times New Roman" w:cs="Times New Roman"/>
          <w:b/>
          <w:bCs/>
          <w:noProof/>
          <w:lang w:val="ro-RO"/>
        </w:rPr>
        <w:t>Reguli de selectare a manșetei de tensiometru!</w:t>
      </w:r>
    </w:p>
    <w:p w14:paraId="71927497" w14:textId="77777777" w:rsidR="00D52470" w:rsidRPr="00D73CB7" w:rsidRDefault="00D52470" w:rsidP="008151B3">
      <w:pPr>
        <w:pStyle w:val="ListParagraph"/>
        <w:numPr>
          <w:ilvl w:val="0"/>
          <w:numId w:val="5"/>
        </w:numPr>
        <w:spacing w:line="276" w:lineRule="auto"/>
        <w:jc w:val="both"/>
        <w:rPr>
          <w:rFonts w:ascii="Times New Roman" w:hAnsi="Times New Roman" w:cs="Times New Roman"/>
          <w:noProof/>
          <w:lang w:val="ro-RO"/>
        </w:rPr>
      </w:pPr>
      <w:r w:rsidRPr="00D73CB7">
        <w:rPr>
          <w:rFonts w:ascii="Times New Roman" w:hAnsi="Times New Roman" w:cs="Times New Roman"/>
          <w:noProof/>
          <w:lang w:val="ro-RO"/>
        </w:rPr>
        <w:t xml:space="preserve">Tensiometru </w:t>
      </w:r>
      <w:r w:rsidRPr="00D73CB7">
        <w:rPr>
          <w:rFonts w:ascii="Times New Roman" w:hAnsi="Times New Roman" w:cs="Times New Roman"/>
          <w:b/>
          <w:bCs/>
          <w:noProof/>
          <w:lang w:val="ro-RO"/>
        </w:rPr>
        <w:t>manual</w:t>
      </w:r>
      <w:r w:rsidRPr="00D73CB7">
        <w:rPr>
          <w:rFonts w:ascii="Times New Roman" w:hAnsi="Times New Roman" w:cs="Times New Roman"/>
          <w:noProof/>
          <w:lang w:val="ro-RO"/>
        </w:rPr>
        <w:t xml:space="preserve"> → </w:t>
      </w:r>
      <w:r>
        <w:rPr>
          <w:rFonts w:ascii="Times New Roman" w:hAnsi="Times New Roman" w:cs="Times New Roman"/>
          <w:noProof/>
          <w:lang w:val="ro-RO"/>
        </w:rPr>
        <w:t xml:space="preserve">partea gonflabilă a </w:t>
      </w:r>
      <w:r w:rsidRPr="00D73CB7">
        <w:rPr>
          <w:rFonts w:ascii="Times New Roman" w:hAnsi="Times New Roman" w:cs="Times New Roman"/>
          <w:noProof/>
          <w:lang w:val="ro-RO"/>
        </w:rPr>
        <w:t>manșet</w:t>
      </w:r>
      <w:r>
        <w:rPr>
          <w:rFonts w:ascii="Times New Roman" w:hAnsi="Times New Roman" w:cs="Times New Roman"/>
          <w:noProof/>
          <w:lang w:val="ro-RO"/>
        </w:rPr>
        <w:t>ei</w:t>
      </w:r>
      <w:r w:rsidRPr="00D73CB7">
        <w:rPr>
          <w:rFonts w:ascii="Times New Roman" w:hAnsi="Times New Roman" w:cs="Times New Roman"/>
          <w:noProof/>
          <w:lang w:val="ro-RO"/>
        </w:rPr>
        <w:t xml:space="preserve"> tensiometrului trebuie să acopere 75-100% din circumferința bratului, </w:t>
      </w:r>
    </w:p>
    <w:p w14:paraId="1A8FAD88" w14:textId="77777777" w:rsidR="00D52470" w:rsidRDefault="00D52470" w:rsidP="008151B3">
      <w:pPr>
        <w:pStyle w:val="ListParagraph"/>
        <w:numPr>
          <w:ilvl w:val="0"/>
          <w:numId w:val="5"/>
        </w:numPr>
        <w:spacing w:line="276" w:lineRule="auto"/>
        <w:jc w:val="both"/>
        <w:rPr>
          <w:rFonts w:ascii="Times New Roman" w:hAnsi="Times New Roman" w:cs="Times New Roman"/>
          <w:noProof/>
          <w:lang w:val="ro-RO"/>
        </w:rPr>
      </w:pPr>
      <w:r>
        <w:rPr>
          <w:rFonts w:ascii="Times New Roman" w:hAnsi="Times New Roman" w:cs="Times New Roman"/>
          <w:noProof/>
          <w:lang w:val="ro-RO"/>
        </w:rPr>
        <w:t xml:space="preserve">Tensiometru </w:t>
      </w:r>
      <w:r w:rsidRPr="00D73CB7">
        <w:rPr>
          <w:rFonts w:ascii="Times New Roman" w:hAnsi="Times New Roman" w:cs="Times New Roman"/>
          <w:b/>
          <w:bCs/>
          <w:noProof/>
          <w:lang w:val="ro-RO"/>
        </w:rPr>
        <w:t>electronic</w:t>
      </w:r>
      <w:r>
        <w:rPr>
          <w:rFonts w:ascii="Times New Roman" w:hAnsi="Times New Roman" w:cs="Times New Roman"/>
          <w:noProof/>
          <w:lang w:val="ro-RO"/>
        </w:rPr>
        <w:t xml:space="preserve"> </w:t>
      </w:r>
      <w:r w:rsidRPr="00D73CB7">
        <w:rPr>
          <w:rFonts w:ascii="Times New Roman" w:hAnsi="Times New Roman" w:cs="Times New Roman"/>
          <w:noProof/>
          <w:lang w:val="ro-RO"/>
        </w:rPr>
        <w:t>→</w:t>
      </w:r>
      <w:r>
        <w:rPr>
          <w:rFonts w:ascii="Times New Roman" w:hAnsi="Times New Roman" w:cs="Times New Roman"/>
          <w:noProof/>
          <w:lang w:val="ro-RO"/>
        </w:rPr>
        <w:t xml:space="preserve"> diferă în funcție de tipul de aparat, trebuie consultate recomandările producătorului. </w:t>
      </w:r>
    </w:p>
    <w:p w14:paraId="15010ACF" w14:textId="77777777" w:rsidR="00D52470" w:rsidRPr="00FC4960" w:rsidRDefault="00D52470" w:rsidP="008151B3">
      <w:pPr>
        <w:pStyle w:val="ListParagraph"/>
        <w:spacing w:line="276" w:lineRule="auto"/>
        <w:jc w:val="both"/>
        <w:rPr>
          <w:rFonts w:ascii="Times New Roman" w:hAnsi="Times New Roman" w:cs="Times New Roman"/>
          <w:noProof/>
          <w:lang w:val="ro-RO"/>
        </w:rPr>
      </w:pPr>
    </w:p>
    <w:p w14:paraId="61EE4184" w14:textId="06ADBEE2" w:rsidR="00D52470" w:rsidRDefault="00D52470" w:rsidP="008151B3">
      <w:pPr>
        <w:spacing w:line="276" w:lineRule="auto"/>
        <w:jc w:val="both"/>
        <w:rPr>
          <w:rFonts w:ascii="Times New Roman" w:hAnsi="Times New Roman" w:cs="Times New Roman"/>
          <w:b/>
          <w:bCs/>
          <w:noProof/>
          <w:lang w:val="ro-RO"/>
        </w:rPr>
      </w:pPr>
      <w:bookmarkStart w:id="0" w:name="_GoBack"/>
      <w:bookmarkEnd w:id="0"/>
      <w:r w:rsidRPr="00D52470">
        <w:rPr>
          <w:rFonts w:ascii="Times New Roman" w:hAnsi="Times New Roman" w:cs="Times New Roman"/>
          <w:b/>
          <w:bCs/>
          <w:noProof/>
          <w:lang w:val="ro-RO"/>
        </w:rPr>
        <w:t>Bibliografie</w:t>
      </w:r>
    </w:p>
    <w:p w14:paraId="528088D1" w14:textId="74BBC771" w:rsidR="00D52470" w:rsidRPr="008151B3" w:rsidRDefault="00D52470" w:rsidP="008151B3">
      <w:pPr>
        <w:autoSpaceDE w:val="0"/>
        <w:autoSpaceDN w:val="0"/>
        <w:adjustRightInd w:val="0"/>
        <w:spacing w:after="0" w:line="276" w:lineRule="auto"/>
        <w:jc w:val="both"/>
        <w:rPr>
          <w:rFonts w:ascii="Times New Roman" w:hAnsi="Times New Roman" w:cs="Times New Roman"/>
          <w:noProof/>
          <w:sz w:val="16"/>
          <w:szCs w:val="16"/>
          <w:lang w:val="ro-RO"/>
        </w:rPr>
      </w:pPr>
      <w:r w:rsidRPr="008151B3">
        <w:rPr>
          <w:rFonts w:ascii="Times New Roman" w:hAnsi="Times New Roman" w:cs="Times New Roman"/>
          <w:noProof/>
          <w:sz w:val="16"/>
          <w:szCs w:val="16"/>
          <w:lang w:val="ro-RO"/>
        </w:rPr>
        <w:t>1.</w:t>
      </w:r>
      <w:r w:rsidRPr="008151B3">
        <w:rPr>
          <w:sz w:val="16"/>
          <w:szCs w:val="16"/>
        </w:rPr>
        <w:t xml:space="preserve"> </w:t>
      </w:r>
      <w:r w:rsidRPr="008151B3">
        <w:rPr>
          <w:rFonts w:ascii="Times New Roman" w:hAnsi="Times New Roman" w:cs="Times New Roman"/>
          <w:noProof/>
          <w:sz w:val="16"/>
          <w:szCs w:val="16"/>
          <w:lang w:val="ro-RO"/>
        </w:rPr>
        <w:t xml:space="preserve">Bryan Williams, Giuseppe Mancia, Wilko Spiering, Enrico Agabiti Rosei, Michel Azizi, Michel Burnier, Denis L Clement, Antonio Coca, Giovanni de Simone, Anna Dominiczak, Thomas Kahan, Felix Mahfoud, Josep Redon, Luis Ruilope, Alberto Zanchetti, Mary Kerins, Sverre E Kjeldsen, Reinhold Kreutz, Stephane Laurent, Gregory Y H Lip, Richard McManus, Krzysztof Narkiewicz, Frank Ruschitzka, Roland E Schmieder, Evgeny Shlyakhto, Costas Tsioufis, Victor Aboyans, Ileana Desormais, ESC Scientific Document Group, 2018 ESC/ESH Guidelines for the management of arterial hypertension: The Task Force for the management of arterial hypertension of the European Society of Cardiology (ESC) and the European Society of Hypertension (ESH), </w:t>
      </w:r>
      <w:r w:rsidRPr="008151B3">
        <w:rPr>
          <w:rStyle w:val="Emphasis"/>
          <w:rFonts w:ascii="Times New Roman" w:hAnsi="Times New Roman" w:cs="Times New Roman"/>
          <w:noProof/>
          <w:sz w:val="16"/>
          <w:szCs w:val="16"/>
          <w:lang w:val="ro-RO"/>
        </w:rPr>
        <w:t>European Heart Journal</w:t>
      </w:r>
      <w:r w:rsidRPr="008151B3">
        <w:rPr>
          <w:rFonts w:ascii="Times New Roman" w:hAnsi="Times New Roman" w:cs="Times New Roman"/>
          <w:noProof/>
          <w:sz w:val="16"/>
          <w:szCs w:val="16"/>
          <w:lang w:val="ro-RO"/>
        </w:rPr>
        <w:t xml:space="preserve">, Volume 39, Issue 33, 01 September 2018, Pages 3021–3104, </w:t>
      </w:r>
      <w:hyperlink r:id="rId10" w:history="1">
        <w:r w:rsidRPr="008151B3">
          <w:rPr>
            <w:rStyle w:val="Hyperlink"/>
            <w:rFonts w:ascii="Times New Roman" w:hAnsi="Times New Roman" w:cs="Times New Roman"/>
            <w:noProof/>
            <w:sz w:val="16"/>
            <w:szCs w:val="16"/>
            <w:lang w:val="ro-RO"/>
          </w:rPr>
          <w:t>https://doi.org/10.1093/eurheartj/ehy339</w:t>
        </w:r>
      </w:hyperlink>
    </w:p>
    <w:p w14:paraId="62DF238C" w14:textId="77777777" w:rsidR="008151B3" w:rsidRPr="008151B3" w:rsidRDefault="008151B3" w:rsidP="008151B3">
      <w:pPr>
        <w:autoSpaceDE w:val="0"/>
        <w:autoSpaceDN w:val="0"/>
        <w:adjustRightInd w:val="0"/>
        <w:spacing w:after="0" w:line="276" w:lineRule="auto"/>
        <w:jc w:val="both"/>
        <w:rPr>
          <w:rFonts w:ascii="Times New Roman" w:hAnsi="Times New Roman" w:cs="Times New Roman"/>
          <w:noProof/>
          <w:sz w:val="16"/>
          <w:szCs w:val="16"/>
          <w:lang w:val="ro-RO"/>
        </w:rPr>
      </w:pPr>
    </w:p>
    <w:p w14:paraId="5DF4246E" w14:textId="479C102A" w:rsidR="00C53F2D" w:rsidRDefault="008151B3" w:rsidP="00E027C3">
      <w:pPr>
        <w:spacing w:line="276" w:lineRule="auto"/>
        <w:jc w:val="both"/>
      </w:pPr>
      <w:r w:rsidRPr="008151B3">
        <w:rPr>
          <w:rFonts w:ascii="Times New Roman" w:hAnsi="Times New Roman" w:cs="Times New Roman"/>
          <w:noProof/>
          <w:sz w:val="16"/>
          <w:szCs w:val="16"/>
          <w:lang w:val="ro-RO"/>
        </w:rPr>
        <w:t xml:space="preserve">2. </w:t>
      </w:r>
      <w:r w:rsidR="00D52470" w:rsidRPr="008151B3">
        <w:rPr>
          <w:rFonts w:ascii="Times New Roman" w:hAnsi="Times New Roman" w:cs="Times New Roman"/>
          <w:noProof/>
          <w:sz w:val="16"/>
          <w:szCs w:val="16"/>
          <w:lang w:val="ro-RO"/>
        </w:rPr>
        <w:t>Thomas Unger, Claudio Borghi, Fadi Charchar, Nadia A. Khan, Neil R. Poulter, Dorairaj Prabhakaran, Agustin Ramirez, Markus Schlaich, George S. Stergiou, Maciej Tomaszewski, Richard D. Wainford, Bryan Williams, and Aletta E. Schutte</w:t>
      </w:r>
      <w:r w:rsidRPr="008151B3">
        <w:rPr>
          <w:rFonts w:ascii="Times New Roman" w:hAnsi="Times New Roman" w:cs="Times New Roman"/>
          <w:noProof/>
          <w:sz w:val="16"/>
          <w:szCs w:val="16"/>
          <w:lang w:val="ro-RO"/>
        </w:rPr>
        <w:t xml:space="preserve">, 2020 International Society of Hypertension Global Hypertension Practice Guidelines,  </w:t>
      </w:r>
      <w:r w:rsidRPr="008151B3">
        <w:rPr>
          <w:rFonts w:ascii="Times New Roman" w:hAnsi="Times New Roman" w:cs="Times New Roman"/>
          <w:i/>
          <w:iCs/>
          <w:noProof/>
          <w:sz w:val="16"/>
          <w:szCs w:val="16"/>
          <w:lang w:val="ro-RO"/>
        </w:rPr>
        <w:t>Hypertension</w:t>
      </w:r>
      <w:r w:rsidRPr="008151B3">
        <w:rPr>
          <w:rFonts w:ascii="Times New Roman" w:hAnsi="Times New Roman" w:cs="Times New Roman"/>
          <w:noProof/>
          <w:sz w:val="16"/>
          <w:szCs w:val="16"/>
          <w:lang w:val="ro-RO"/>
        </w:rPr>
        <w:t xml:space="preserve">,Volume 75, Issue 6, June 2020; Pages 1334-1357, </w:t>
      </w:r>
      <w:hyperlink r:id="rId11" w:history="1">
        <w:r w:rsidRPr="008151B3">
          <w:rPr>
            <w:rStyle w:val="Hyperlink"/>
            <w:rFonts w:ascii="Times New Roman" w:hAnsi="Times New Roman" w:cs="Times New Roman"/>
            <w:noProof/>
            <w:sz w:val="16"/>
            <w:szCs w:val="16"/>
            <w:lang w:val="ro-RO"/>
          </w:rPr>
          <w:t>https://doi.org/10.1161/HYPERTENSIONAHA.120.15026</w:t>
        </w:r>
      </w:hyperlink>
    </w:p>
    <w:sectPr w:rsidR="00C53F2D">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AE2BE4" w14:textId="77777777" w:rsidR="00996EDA" w:rsidRDefault="00996EDA" w:rsidP="00E027C3">
      <w:pPr>
        <w:spacing w:after="0" w:line="240" w:lineRule="auto"/>
      </w:pPr>
      <w:r>
        <w:separator/>
      </w:r>
    </w:p>
  </w:endnote>
  <w:endnote w:type="continuationSeparator" w:id="0">
    <w:p w14:paraId="0B11E91D" w14:textId="77777777" w:rsidR="00996EDA" w:rsidRDefault="00996EDA" w:rsidP="00E027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rpetua">
    <w:panose1 w:val="02020502060401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72AFA1" w14:textId="77777777" w:rsidR="00996EDA" w:rsidRDefault="00996EDA" w:rsidP="00E027C3">
      <w:pPr>
        <w:spacing w:after="0" w:line="240" w:lineRule="auto"/>
      </w:pPr>
      <w:r>
        <w:separator/>
      </w:r>
    </w:p>
  </w:footnote>
  <w:footnote w:type="continuationSeparator" w:id="0">
    <w:p w14:paraId="6C68E1A2" w14:textId="77777777" w:rsidR="00996EDA" w:rsidRDefault="00996EDA" w:rsidP="00E027C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4E612A" w14:textId="43B54D4E" w:rsidR="00E027C3" w:rsidRDefault="00E027C3">
    <w:pPr>
      <w:pStyle w:val="Header"/>
    </w:pPr>
    <w:r>
      <w:rPr>
        <w:noProof/>
      </w:rPr>
      <mc:AlternateContent>
        <mc:Choice Requires="wps">
          <w:drawing>
            <wp:anchor distT="0" distB="0" distL="114300" distR="114300" simplePos="0" relativeHeight="251661312" behindDoc="0" locked="0" layoutInCell="1" allowOverlap="1" wp14:anchorId="1D638187" wp14:editId="443F61C5">
              <wp:simplePos x="0" y="0"/>
              <wp:positionH relativeFrom="column">
                <wp:posOffset>5695950</wp:posOffset>
              </wp:positionH>
              <wp:positionV relativeFrom="paragraph">
                <wp:posOffset>-361950</wp:posOffset>
              </wp:positionV>
              <wp:extent cx="876300" cy="714375"/>
              <wp:effectExtent l="0" t="0" r="0" b="0"/>
              <wp:wrapNone/>
              <wp:docPr id="4" name="Text Box 4"/>
              <wp:cNvGraphicFramePr/>
              <a:graphic xmlns:a="http://schemas.openxmlformats.org/drawingml/2006/main">
                <a:graphicData uri="http://schemas.microsoft.com/office/word/2010/wordprocessingShape">
                  <wps:wsp>
                    <wps:cNvSpPr txBox="1"/>
                    <wps:spPr>
                      <a:xfrm>
                        <a:off x="0" y="0"/>
                        <a:ext cx="876300" cy="7143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9220F05" w14:textId="12638731" w:rsidR="00E027C3" w:rsidRDefault="00E027C3" w:rsidP="00E027C3">
                          <w:pPr>
                            <w:jc w:val="right"/>
                          </w:pPr>
                          <w:r>
                            <w:rPr>
                              <w:noProof/>
                            </w:rPr>
                            <w:drawing>
                              <wp:inline distT="0" distB="0" distL="0" distR="0" wp14:anchorId="0F462929" wp14:editId="080F48BD">
                                <wp:extent cx="687521" cy="61359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extLst>
                                            <a:ext uri="{28A0092B-C50C-407E-A947-70E740481C1C}">
                                              <a14:useLocalDpi xmlns:a14="http://schemas.microsoft.com/office/drawing/2010/main" val="0"/>
                                            </a:ext>
                                          </a:extLst>
                                        </a:blip>
                                        <a:stretch>
                                          <a:fillRect/>
                                        </a:stretch>
                                      </pic:blipFill>
                                      <pic:spPr>
                                        <a:xfrm>
                                          <a:off x="0" y="0"/>
                                          <a:ext cx="699990" cy="624723"/>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448.5pt;margin-top:-28.5pt;width:69pt;height:5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" filled="f" stroked="f" strokeweight=".5pt">
              <v:textbox>
                <w:txbxContent>
                  <w:p w14:paraId="19220F05" w14:textId="12638731" w:rsidR="00E027C3" w:rsidRDefault="00E027C3" w:rsidP="00E027C3">
                    <w:pPr>
                      <w:jc w:val="right"/>
                    </w:pPr>
                    <w:r>
                      <w:rPr>
                        <w:noProof/>
                      </w:rPr>
                      <w:drawing>
                        <wp:inline distT="0" distB="0" distL="0" distR="0" wp14:anchorId="0F462929" wp14:editId="080F48BD">
                          <wp:extent cx="687521" cy="61359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extLst>
                                      <a:ext uri="{28A0092B-C50C-407E-A947-70E740481C1C}">
                                        <a14:useLocalDpi xmlns:a14="http://schemas.microsoft.com/office/drawing/2010/main" val="0"/>
                                      </a:ext>
                                    </a:extLst>
                                  </a:blip>
                                  <a:stretch>
                                    <a:fillRect/>
                                  </a:stretch>
                                </pic:blipFill>
                                <pic:spPr>
                                  <a:xfrm>
                                    <a:off x="0" y="0"/>
                                    <a:ext cx="699990" cy="624723"/>
                                  </a:xfrm>
                                  <a:prstGeom prst="rect">
                                    <a:avLst/>
                                  </a:prstGeom>
                                </pic:spPr>
                              </pic:pic>
                            </a:graphicData>
                          </a:graphic>
                        </wp:inline>
                      </w:drawing>
                    </w:r>
                  </w:p>
                </w:txbxContent>
              </v:textbox>
            </v:shape>
          </w:pict>
        </mc:Fallback>
      </mc:AlternateContent>
    </w:r>
    <w:r>
      <w:t xml:space="preserve">       </w:t>
    </w:r>
    <w:r>
      <w:rPr>
        <w:noProof/>
      </w:rPr>
      <mc:AlternateContent>
        <mc:Choice Requires="wps">
          <w:drawing>
            <wp:anchor distT="0" distB="0" distL="114300" distR="114300" simplePos="0" relativeHeight="251660288" behindDoc="0" locked="0" layoutInCell="0" allowOverlap="1" wp14:anchorId="758ECE7B" wp14:editId="467399CD">
              <wp:simplePos x="0" y="0"/>
              <wp:positionH relativeFrom="margin">
                <wp:align>left</wp:align>
              </wp:positionH>
              <wp:positionV relativeFrom="topMargin">
                <wp:align>center</wp:align>
              </wp:positionV>
              <wp:extent cx="5943600" cy="170815"/>
              <wp:effectExtent l="0" t="0" r="0" b="1905"/>
              <wp:wrapNone/>
              <wp:docPr id="473" name="Text Box 4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0815"/>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b/>
                            </w:rPr>
                            <w:alias w:val="Title"/>
                            <w:id w:val="78679243"/>
                            <w:dataBinding w:prefixMappings="xmlns:ns0='http://schemas.openxmlformats.org/package/2006/metadata/core-properties' xmlns:ns1='http://purl.org/dc/elements/1.1/'" w:xpath="/ns0:coreProperties[1]/ns1:title[1]" w:storeItemID="{6C3C8BC8-F283-45AE-878A-BAB7291924A1}"/>
                            <w:text/>
                          </w:sdtPr>
                          <w:sdtContent>
                            <w:p w14:paraId="5562CC49" w14:textId="64AABBF2" w:rsidR="00E027C3" w:rsidRPr="00E027C3" w:rsidRDefault="00E027C3">
                              <w:pPr>
                                <w:spacing w:after="0" w:line="240" w:lineRule="auto"/>
                                <w:rPr>
                                  <w:b/>
                                </w:rPr>
                              </w:pPr>
                              <w:r w:rsidRPr="00E027C3">
                                <w:rPr>
                                  <w:b/>
                                </w:rPr>
                                <w:t>GRUPUL DE LUCRU DE HIPERTENSIUNE ARTERIALA</w:t>
                              </w:r>
                            </w:p>
                          </w:sdtContent>
                        </w:sdt>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 id="Text Box 473" o:spid="_x0000_s1027" type="#_x0000_t202" style="position:absolute;margin-left:0;margin-top:0;width:468pt;height:13.45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" o:allowincell="f" filled="f" stroked="f">
              <v:textbox style="mso-fit-shape-to-text:t" inset=",0,,0">
                <w:txbxContent>
                  <w:sdt>
                    <w:sdtPr>
                      <w:rPr>
                        <w:b/>
                      </w:rPr>
                      <w:alias w:val="Title"/>
                      <w:id w:val="78679243"/>
                      <w:dataBinding w:prefixMappings="xmlns:ns0='http://schemas.openxmlformats.org/package/2006/metadata/core-properties' xmlns:ns1='http://purl.org/dc/elements/1.1/'" w:xpath="/ns0:coreProperties[1]/ns1:title[1]" w:storeItemID="{6C3C8BC8-F283-45AE-878A-BAB7291924A1}"/>
                      <w:text/>
                    </w:sdtPr>
                    <w:sdtContent>
                      <w:p w14:paraId="5562CC49" w14:textId="64AABBF2" w:rsidR="00E027C3" w:rsidRPr="00E027C3" w:rsidRDefault="00E027C3">
                        <w:pPr>
                          <w:spacing w:after="0" w:line="240" w:lineRule="auto"/>
                          <w:rPr>
                            <w:b/>
                          </w:rPr>
                        </w:pPr>
                        <w:r w:rsidRPr="00E027C3">
                          <w:rPr>
                            <w:b/>
                          </w:rPr>
                          <w:t>GRUPUL DE LUCRU DE HIPERTENSIUNE ARTERIALA</w:t>
                        </w:r>
                      </w:p>
                    </w:sdtContent>
                  </w:sdt>
                </w:txbxContent>
              </v:textbox>
              <w10:wrap anchorx="margin" anchory="margin"/>
            </v:shape>
          </w:pict>
        </mc:Fallback>
      </mc:AlternateContent>
    </w:r>
    <w:r>
      <w:rPr>
        <w:noProof/>
      </w:rPr>
      <mc:AlternateContent>
        <mc:Choice Requires="wps">
          <w:drawing>
            <wp:anchor distT="0" distB="0" distL="114300" distR="114300" simplePos="0" relativeHeight="251659264" behindDoc="0" locked="0" layoutInCell="0" allowOverlap="1" wp14:anchorId="0CA7EFB3" wp14:editId="21A370CF">
              <wp:simplePos x="0" y="0"/>
              <wp:positionH relativeFrom="page">
                <wp:align>left</wp:align>
              </wp:positionH>
              <wp:positionV relativeFrom="topMargin">
                <wp:align>center</wp:align>
              </wp:positionV>
              <wp:extent cx="914400" cy="170815"/>
              <wp:effectExtent l="0" t="0" r="0" b="0"/>
              <wp:wrapNone/>
              <wp:docPr id="474" name="Text Box 4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70815"/>
                      </a:xfrm>
                      <a:prstGeom prst="rect">
                        <a:avLst/>
                      </a:prstGeom>
                      <a:solidFill>
                        <a:schemeClr val="accent1"/>
                      </a:solidFill>
                      <a:extLst/>
                    </wps:spPr>
                    <wps:txbx>
                      <w:txbxContent>
                        <w:p w14:paraId="2CDA4736" w14:textId="77777777" w:rsidR="00E027C3" w:rsidRDefault="00E027C3">
                          <w:pPr>
                            <w:spacing w:after="0" w:line="240" w:lineRule="auto"/>
                            <w:jc w:val="right"/>
                            <w:rPr>
                              <w:color w:val="FFFFFF" w:themeColor="background1"/>
                              <w14:numForm w14:val="lining"/>
                            </w:rPr>
                          </w:pPr>
                          <w:r>
                            <w:rPr>
                              <w14:numForm w14:val="lining"/>
                            </w:rPr>
                            <w:fldChar w:fldCharType="begin"/>
                          </w:r>
                          <w:r>
                            <w:rPr>
                              <w14:numForm w14:val="lining"/>
                            </w:rPr>
                            <w:instrText xml:space="preserve"> PAGE   \* MERGEFORMAT </w:instrText>
                          </w:r>
                          <w:r>
                            <w:rPr>
                              <w14:numForm w14:val="lining"/>
                            </w:rPr>
                            <w:fldChar w:fldCharType="separate"/>
                          </w:r>
                          <w:r w:rsidR="00DE2F00" w:rsidRPr="00DE2F00">
                            <w:rPr>
                              <w:noProof/>
                              <w:color w:val="FFFFFF" w:themeColor="background1"/>
                              <w14:numForm w14:val="lining"/>
                            </w:rPr>
                            <w:t>2</w:t>
                          </w:r>
                          <w:r>
                            <w:rPr>
                              <w:noProof/>
                              <w:color w:val="FFFFFF" w:themeColor="background1"/>
                              <w14:numForm w14:val="lining"/>
                            </w:rPr>
                            <w:fldChar w:fldCharType="end"/>
                          </w: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w:pict>
            <v:shape id="Text Box 474" o:spid="_x0000_s1028" type="#_x0000_t202" style="position:absolute;margin-left:0;margin-top:0;width:1in;height:13.45pt;z-index:251659264;visibility:visible;mso-wrap-style:square;mso-width-percent:1000;mso-height-percent:0;mso-wrap-distance-left:9pt;mso-wrap-distance-top:0;mso-wrap-distance-right:9pt;mso-wrap-distance-bottom:0;mso-position-horizontal:left;mso-position-horizontal-relative:page;mso-position-vertical:center;mso-position-vertical-relative:top-margin-area;mso-width-percent:100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" o:allowincell="f" fillcolor="#d34817 [3204]" stroked="f">
              <v:textbox style="mso-fit-shape-to-text:t" inset=",0,,0">
                <w:txbxContent>
                  <w:p w14:paraId="2CDA4736" w14:textId="77777777" w:rsidR="00E027C3" w:rsidRDefault="00E027C3">
                    <w:pPr>
                      <w:spacing w:after="0" w:line="240" w:lineRule="auto"/>
                      <w:jc w:val="right"/>
                      <w:rPr>
                        <w:color w:val="FFFFFF" w:themeColor="background1"/>
                        <w14:numForm w14:val="lining"/>
                      </w:rPr>
                    </w:pPr>
                    <w:r>
                      <w:rPr>
                        <w14:numForm w14:val="lining"/>
                      </w:rPr>
                      <w:fldChar w:fldCharType="begin"/>
                    </w:r>
                    <w:r>
                      <w:rPr>
                        <w14:numForm w14:val="lining"/>
                      </w:rPr>
                      <w:instrText xml:space="preserve"> PAGE   \* MERGEFORMAT </w:instrText>
                    </w:r>
                    <w:r>
                      <w:rPr>
                        <w14:numForm w14:val="lining"/>
                      </w:rPr>
                      <w:fldChar w:fldCharType="separate"/>
                    </w:r>
                    <w:r w:rsidR="00DE2F00" w:rsidRPr="00DE2F00">
                      <w:rPr>
                        <w:noProof/>
                        <w:color w:val="FFFFFF" w:themeColor="background1"/>
                        <w14:numForm w14:val="lining"/>
                      </w:rPr>
                      <w:t>2</w:t>
                    </w:r>
                    <w:r>
                      <w:rPr>
                        <w:noProof/>
                        <w:color w:val="FFFFFF" w:themeColor="background1"/>
                        <w14:numForm w14:val="lining"/>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C3799F"/>
    <w:multiLevelType w:val="hybridMultilevel"/>
    <w:tmpl w:val="F2BEF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62848EF"/>
    <w:multiLevelType w:val="hybridMultilevel"/>
    <w:tmpl w:val="73724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9F120AF"/>
    <w:multiLevelType w:val="hybridMultilevel"/>
    <w:tmpl w:val="044E7DBE"/>
    <w:lvl w:ilvl="0" w:tplc="0409000F">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7ED1C36"/>
    <w:multiLevelType w:val="hybridMultilevel"/>
    <w:tmpl w:val="32183E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7EB3DA1"/>
    <w:multiLevelType w:val="hybridMultilevel"/>
    <w:tmpl w:val="2E365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B8D316B"/>
    <w:multiLevelType w:val="hybridMultilevel"/>
    <w:tmpl w:val="1E8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5"/>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311C"/>
    <w:rsid w:val="000F6B65"/>
    <w:rsid w:val="0025311C"/>
    <w:rsid w:val="00257873"/>
    <w:rsid w:val="008151B3"/>
    <w:rsid w:val="00996EDA"/>
    <w:rsid w:val="00C53F2D"/>
    <w:rsid w:val="00D52470"/>
    <w:rsid w:val="00DE2F00"/>
    <w:rsid w:val="00E027C3"/>
    <w:rsid w:val="00E376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CF2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24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2470"/>
    <w:pPr>
      <w:ind w:left="720"/>
      <w:contextualSpacing/>
    </w:pPr>
  </w:style>
  <w:style w:type="table" w:styleId="TableGrid">
    <w:name w:val="Table Grid"/>
    <w:basedOn w:val="TableNormal"/>
    <w:uiPriority w:val="39"/>
    <w:rsid w:val="00D524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D52470"/>
    <w:rPr>
      <w:i/>
      <w:iCs/>
    </w:rPr>
  </w:style>
  <w:style w:type="character" w:styleId="Hyperlink">
    <w:name w:val="Hyperlink"/>
    <w:basedOn w:val="DefaultParagraphFont"/>
    <w:uiPriority w:val="99"/>
    <w:unhideWhenUsed/>
    <w:rsid w:val="00D52470"/>
    <w:rPr>
      <w:color w:val="0000FF"/>
      <w:u w:val="single"/>
    </w:rPr>
  </w:style>
  <w:style w:type="character" w:customStyle="1" w:styleId="UnresolvedMention">
    <w:name w:val="Unresolved Mention"/>
    <w:basedOn w:val="DefaultParagraphFont"/>
    <w:uiPriority w:val="99"/>
    <w:semiHidden/>
    <w:unhideWhenUsed/>
    <w:rsid w:val="008151B3"/>
    <w:rPr>
      <w:color w:val="605E5C"/>
      <w:shd w:val="clear" w:color="auto" w:fill="E1DFDD"/>
    </w:rPr>
  </w:style>
  <w:style w:type="paragraph" w:styleId="BalloonText">
    <w:name w:val="Balloon Text"/>
    <w:basedOn w:val="Normal"/>
    <w:link w:val="BalloonTextChar"/>
    <w:uiPriority w:val="99"/>
    <w:semiHidden/>
    <w:unhideWhenUsed/>
    <w:rsid w:val="000F6B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6B65"/>
    <w:rPr>
      <w:rFonts w:ascii="Tahoma" w:hAnsi="Tahoma" w:cs="Tahoma"/>
      <w:sz w:val="16"/>
      <w:szCs w:val="16"/>
    </w:rPr>
  </w:style>
  <w:style w:type="paragraph" w:styleId="Header">
    <w:name w:val="header"/>
    <w:basedOn w:val="Normal"/>
    <w:link w:val="HeaderChar"/>
    <w:uiPriority w:val="99"/>
    <w:unhideWhenUsed/>
    <w:rsid w:val="00E027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27C3"/>
  </w:style>
  <w:style w:type="paragraph" w:styleId="Footer">
    <w:name w:val="footer"/>
    <w:basedOn w:val="Normal"/>
    <w:link w:val="FooterChar"/>
    <w:uiPriority w:val="99"/>
    <w:unhideWhenUsed/>
    <w:rsid w:val="00E027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27C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24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2470"/>
    <w:pPr>
      <w:ind w:left="720"/>
      <w:contextualSpacing/>
    </w:pPr>
  </w:style>
  <w:style w:type="table" w:styleId="TableGrid">
    <w:name w:val="Table Grid"/>
    <w:basedOn w:val="TableNormal"/>
    <w:uiPriority w:val="39"/>
    <w:rsid w:val="00D524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D52470"/>
    <w:rPr>
      <w:i/>
      <w:iCs/>
    </w:rPr>
  </w:style>
  <w:style w:type="character" w:styleId="Hyperlink">
    <w:name w:val="Hyperlink"/>
    <w:basedOn w:val="DefaultParagraphFont"/>
    <w:uiPriority w:val="99"/>
    <w:unhideWhenUsed/>
    <w:rsid w:val="00D52470"/>
    <w:rPr>
      <w:color w:val="0000FF"/>
      <w:u w:val="single"/>
    </w:rPr>
  </w:style>
  <w:style w:type="character" w:customStyle="1" w:styleId="UnresolvedMention">
    <w:name w:val="Unresolved Mention"/>
    <w:basedOn w:val="DefaultParagraphFont"/>
    <w:uiPriority w:val="99"/>
    <w:semiHidden/>
    <w:unhideWhenUsed/>
    <w:rsid w:val="008151B3"/>
    <w:rPr>
      <w:color w:val="605E5C"/>
      <w:shd w:val="clear" w:color="auto" w:fill="E1DFDD"/>
    </w:rPr>
  </w:style>
  <w:style w:type="paragraph" w:styleId="BalloonText">
    <w:name w:val="Balloon Text"/>
    <w:basedOn w:val="Normal"/>
    <w:link w:val="BalloonTextChar"/>
    <w:uiPriority w:val="99"/>
    <w:semiHidden/>
    <w:unhideWhenUsed/>
    <w:rsid w:val="000F6B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6B65"/>
    <w:rPr>
      <w:rFonts w:ascii="Tahoma" w:hAnsi="Tahoma" w:cs="Tahoma"/>
      <w:sz w:val="16"/>
      <w:szCs w:val="16"/>
    </w:rPr>
  </w:style>
  <w:style w:type="paragraph" w:styleId="Header">
    <w:name w:val="header"/>
    <w:basedOn w:val="Normal"/>
    <w:link w:val="HeaderChar"/>
    <w:uiPriority w:val="99"/>
    <w:unhideWhenUsed/>
    <w:rsid w:val="00E027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27C3"/>
  </w:style>
  <w:style w:type="paragraph" w:styleId="Footer">
    <w:name w:val="footer"/>
    <w:basedOn w:val="Normal"/>
    <w:link w:val="FooterChar"/>
    <w:uiPriority w:val="99"/>
    <w:unhideWhenUsed/>
    <w:rsid w:val="00E027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27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1161/HYPERTENSIONAHA.120.15026"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doi.org/10.1093/eurheartj/ehy339"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rpetua">
    <w:panose1 w:val="02020502060401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6798"/>
    <w:rsid w:val="00352537"/>
    <w:rsid w:val="005E67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E7A342FADD34C4E90D6939EE2A32895">
    <w:name w:val="9E7A342FADD34C4E90D6939EE2A32895"/>
    <w:rsid w:val="005E679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E7A342FADD34C4E90D6939EE2A32895">
    <w:name w:val="9E7A342FADD34C4E90D6939EE2A32895"/>
    <w:rsid w:val="005E67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Equity">
  <a:themeElements>
    <a:clrScheme name="Equity">
      <a:dk1>
        <a:sysClr val="windowText" lastClr="000000"/>
      </a:dk1>
      <a:lt1>
        <a:sysClr val="window" lastClr="FFFFFF"/>
      </a:lt1>
      <a:dk2>
        <a:srgbClr val="696464"/>
      </a:dk2>
      <a:lt2>
        <a:srgbClr val="E9E5DC"/>
      </a:lt2>
      <a:accent1>
        <a:srgbClr val="D34817"/>
      </a:accent1>
      <a:accent2>
        <a:srgbClr val="9B2D1F"/>
      </a:accent2>
      <a:accent3>
        <a:srgbClr val="A28E6A"/>
      </a:accent3>
      <a:accent4>
        <a:srgbClr val="956251"/>
      </a:accent4>
      <a:accent5>
        <a:srgbClr val="918485"/>
      </a:accent5>
      <a:accent6>
        <a:srgbClr val="855D5D"/>
      </a:accent6>
      <a:hlink>
        <a:srgbClr val="CC9900"/>
      </a:hlink>
      <a:folHlink>
        <a:srgbClr val="96A9A9"/>
      </a:folHlink>
    </a:clrScheme>
    <a:fontScheme name="Equity">
      <a:majorFont>
        <a:latin typeface="Franklin Gothic Book"/>
        <a:ea typeface=""/>
        <a:cs typeface=""/>
        <a:font script="Grek" typeface="Calibri"/>
        <a:font script="Cyrl" typeface="Calibri"/>
        <a:font script="Jpan" typeface="HGｺﾞｼｯｸM"/>
        <a:font script="Hang" typeface="바탕"/>
        <a:font script="Hans" typeface="幼圆"/>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Perpetua"/>
        <a:ea typeface=""/>
        <a:cs typeface=""/>
        <a:font script="Grek" typeface="Cambria"/>
        <a:font script="Cyrl" typeface="Cambria"/>
        <a:font script="Jpan" typeface="HG創英ﾌﾟﾚｾﾞﾝｽEB"/>
        <a:font script="Hang" typeface="맑은 고딕"/>
        <a:font script="Hans" typeface="宋体"/>
        <a:font script="Hant" typeface="新細明體"/>
        <a:font script="Arab" typeface="Times New Roman"/>
        <a:font script="Hebr" typeface="Aharoni"/>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Equity">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shade val="40000"/>
                <a:satMod val="165000"/>
              </a:schemeClr>
            </a:gs>
            <a:gs pos="50000">
              <a:schemeClr val="phClr">
                <a:shade val="80000"/>
                <a:satMod val="155000"/>
              </a:schemeClr>
            </a:gs>
            <a:gs pos="100000">
              <a:schemeClr val="phClr">
                <a:tint val="95000"/>
                <a:satMod val="200000"/>
              </a:schemeClr>
            </a:gs>
          </a:gsLst>
          <a:lin ang="16200000" scaled="1"/>
        </a:gradFill>
        <a:blipFill>
          <a:blip xmlns:r="http://schemas.openxmlformats.org/officeDocument/2006/relationships" r:embed="rId1">
            <a:duotone>
              <a:schemeClr val="phClr">
                <a:tint val="95000"/>
                <a:satMod val="200000"/>
              </a:schemeClr>
              <a:schemeClr val="phClr">
                <a:shade val="80000"/>
                <a:satMod val="100000"/>
              </a:schemeClr>
            </a:duotone>
          </a:blip>
          <a:tile tx="0" ty="0" sx="55000" sy="5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1AC0AD-DCC6-448E-95E3-45B8D98E3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525</Words>
  <Characters>2997</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GRUPUL DE LUCRU DE HIPERTENSIUNE ARTERIALA</dc:title>
  <dc:creator>madalina.e.badea@gmail.com</dc:creator>
  <cp:lastModifiedBy>Crisitan Balahura</cp:lastModifiedBy>
  <cp:revision>3</cp:revision>
  <dcterms:created xsi:type="dcterms:W3CDTF">2021-05-08T04:20:00Z</dcterms:created>
  <dcterms:modified xsi:type="dcterms:W3CDTF">2021-05-08T04:20:00Z</dcterms:modified>
</cp:coreProperties>
</file>