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4892" w14:textId="77777777" w:rsidR="00D52470" w:rsidRDefault="00D52470" w:rsidP="008151B3">
      <w:pPr>
        <w:spacing w:line="276" w:lineRule="auto"/>
        <w:jc w:val="center"/>
        <w:rPr>
          <w:rFonts w:ascii="Times New Roman" w:hAnsi="Times New Roman" w:cs="Times New Roman"/>
          <w:b/>
          <w:bCs/>
          <w:noProof/>
          <w:lang w:val="ro-RO"/>
        </w:rPr>
      </w:pPr>
      <w:r w:rsidRPr="00A0486E">
        <w:rPr>
          <w:rFonts w:ascii="Times New Roman" w:hAnsi="Times New Roman" w:cs="Times New Roman"/>
          <w:b/>
          <w:bCs/>
          <w:noProof/>
          <w:lang w:val="ro-RO"/>
        </w:rPr>
        <w:t>RECOMANDĂRI - HIPERTENSIUNE ARTERIALĂ</w:t>
      </w:r>
    </w:p>
    <w:p w14:paraId="66F91147" w14:textId="77777777" w:rsidR="00616C0C" w:rsidRPr="00616C0C" w:rsidRDefault="00616C0C" w:rsidP="00616C0C">
      <w:pPr>
        <w:spacing w:line="276" w:lineRule="auto"/>
        <w:jc w:val="center"/>
        <w:rPr>
          <w:rFonts w:ascii="Times New Roman" w:hAnsi="Times New Roman" w:cs="Times New Roman"/>
          <w:b/>
          <w:bCs/>
          <w:noProof/>
          <w:color w:val="FF0000"/>
          <w:lang w:val="ro-RO"/>
        </w:rPr>
      </w:pPr>
      <w:r w:rsidRPr="00616C0C">
        <w:rPr>
          <w:rFonts w:ascii="Times New Roman" w:hAnsi="Times New Roman" w:cs="Times New Roman"/>
          <w:b/>
          <w:bCs/>
          <w:noProof/>
          <w:color w:val="FF0000"/>
          <w:lang w:val="ro-RO"/>
        </w:rPr>
        <w:t>Recomandari de investigații în ambulator!</w:t>
      </w:r>
    </w:p>
    <w:p w14:paraId="44D7EDE5" w14:textId="77777777" w:rsidR="00D52470" w:rsidRPr="006B475F" w:rsidRDefault="00D52470" w:rsidP="008151B3">
      <w:pPr>
        <w:spacing w:line="276" w:lineRule="auto"/>
        <w:jc w:val="center"/>
        <w:rPr>
          <w:rFonts w:ascii="Times New Roman" w:hAnsi="Times New Roman" w:cs="Times New Roman"/>
          <w:b/>
          <w:bCs/>
          <w:noProof/>
          <w:u w:val="single"/>
          <w:lang w:val="ro-RO"/>
        </w:rPr>
      </w:pPr>
    </w:p>
    <w:p w14:paraId="34636D32" w14:textId="2DB7ADCC"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1. Va monitoriza valorile tensiunii arteriale la domiciliu </w:t>
      </w:r>
      <w:r>
        <w:rPr>
          <w:rFonts w:ascii="Times New Roman" w:hAnsi="Times New Roman" w:cs="Times New Roman"/>
          <w:noProof/>
          <w:lang w:val="ro-RO"/>
        </w:rPr>
        <w:t xml:space="preserve">conform recomandărilor </w:t>
      </w:r>
      <w:r w:rsidR="00616C0C">
        <w:rPr>
          <w:rFonts w:ascii="Times New Roman" w:hAnsi="Times New Roman" w:cs="Times New Roman"/>
          <w:noProof/>
          <w:lang w:val="ro-RO"/>
        </w:rPr>
        <w:t>(vezi document – Reguli de masurare a TA)</w:t>
      </w:r>
      <w:r w:rsidRPr="006B475F">
        <w:rPr>
          <w:rFonts w:ascii="Times New Roman" w:hAnsi="Times New Roman" w:cs="Times New Roman"/>
          <w:noProof/>
          <w:lang w:val="ro-RO"/>
        </w:rPr>
        <w:t xml:space="preserve"> și va nota aceste valori într-u</w:t>
      </w:r>
      <w:r w:rsidR="00616C0C">
        <w:rPr>
          <w:rFonts w:ascii="Times New Roman" w:hAnsi="Times New Roman" w:cs="Times New Roman"/>
          <w:noProof/>
          <w:lang w:val="ro-RO"/>
        </w:rPr>
        <w:t>n jurnal (Jurnal HBPM).</w:t>
      </w:r>
    </w:p>
    <w:p w14:paraId="6560EEAE" w14:textId="77777777"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2. Va efectua următoarele analize de laborator: hemogramă, glicemia a jeun, HbA1c, profilul lipidic (colesterol total, HDL-c, LDL-c, trigliceride), ionograma serica (Na si K), creatinina serica si eRFG, acid uric, TGO, TGP, bilirubina totală și directă, fosfataza alcalină, GGT, sumar de urină și raport albumină/creatinină urinară. </w:t>
      </w:r>
    </w:p>
    <w:p w14:paraId="52B1690B" w14:textId="77777777"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3. Va efectua consult cardiologic, ECG de repaus, ecocardiografie transtoracică și eventual alte investigații paraclinice în funcție de rezultatul celor precedente și afectarea anumitor organe țintă.</w:t>
      </w:r>
    </w:p>
    <w:p w14:paraId="7B17B10C" w14:textId="3955124E" w:rsidR="007C3F55" w:rsidRPr="006B475F" w:rsidRDefault="00616C0C" w:rsidP="007C3F55">
      <w:pPr>
        <w:spacing w:line="276" w:lineRule="auto"/>
        <w:jc w:val="both"/>
        <w:rPr>
          <w:rFonts w:ascii="Times New Roman" w:hAnsi="Times New Roman" w:cs="Times New Roman"/>
          <w:noProof/>
          <w:lang w:val="ro-RO"/>
        </w:rPr>
      </w:pPr>
      <w:r>
        <w:rPr>
          <w:rFonts w:ascii="Times New Roman" w:hAnsi="Times New Roman" w:cs="Times New Roman"/>
          <w:b/>
          <w:bCs/>
          <w:noProof/>
          <w:lang w:val="ro-RO"/>
        </w:rPr>
        <w:t>Ecografie Doppler artere carotide extracraniene si artere vertebrale</w:t>
      </w:r>
    </w:p>
    <w:p w14:paraId="56F00255" w14:textId="77777777" w:rsidR="007C3F55" w:rsidRPr="006B475F" w:rsidRDefault="007C3F55" w:rsidP="007C3F55">
      <w:pPr>
        <w:pStyle w:val="ListParagraph"/>
        <w:numPr>
          <w:ilvl w:val="0"/>
          <w:numId w:val="1"/>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sufluri vasculare, </w:t>
      </w:r>
    </w:p>
    <w:p w14:paraId="50966326" w14:textId="77777777" w:rsidR="007C3F55" w:rsidRPr="006B475F" w:rsidRDefault="007C3F55" w:rsidP="007C3F55">
      <w:pPr>
        <w:pStyle w:val="ListParagraph"/>
        <w:numPr>
          <w:ilvl w:val="0"/>
          <w:numId w:val="1"/>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boală cerebrovasculară (AIT, AVC),</w:t>
      </w:r>
    </w:p>
    <w:p w14:paraId="346694B4" w14:textId="77777777" w:rsidR="007C3F55" w:rsidRPr="006B475F" w:rsidRDefault="007C3F55" w:rsidP="007C3F55">
      <w:pPr>
        <w:pStyle w:val="ListParagraph"/>
        <w:numPr>
          <w:ilvl w:val="0"/>
          <w:numId w:val="1"/>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boală vasculară cu altă localizare.</w:t>
      </w:r>
    </w:p>
    <w:p w14:paraId="5E638672" w14:textId="77777777" w:rsidR="007C3F55" w:rsidRPr="006B475F" w:rsidRDefault="007C3F55" w:rsidP="007C3F55">
      <w:pPr>
        <w:spacing w:line="276" w:lineRule="auto"/>
        <w:jc w:val="both"/>
        <w:rPr>
          <w:rFonts w:ascii="Times New Roman" w:hAnsi="Times New Roman" w:cs="Times New Roman"/>
          <w:b/>
          <w:bCs/>
          <w:noProof/>
          <w:lang w:val="ro-RO"/>
        </w:rPr>
      </w:pPr>
      <w:r w:rsidRPr="006B475F">
        <w:rPr>
          <w:rFonts w:ascii="Times New Roman" w:hAnsi="Times New Roman" w:cs="Times New Roman"/>
          <w:b/>
          <w:bCs/>
          <w:noProof/>
          <w:lang w:val="ro-RO"/>
        </w:rPr>
        <w:t>Indicele gleznă-braț</w:t>
      </w:r>
      <w:r w:rsidRPr="006B475F">
        <w:rPr>
          <w:rFonts w:ascii="Times New Roman" w:hAnsi="Times New Roman" w:cs="Times New Roman"/>
          <w:noProof/>
          <w:lang w:val="ro-RO"/>
        </w:rPr>
        <w:t xml:space="preserve"> </w:t>
      </w:r>
    </w:p>
    <w:p w14:paraId="2B29A113" w14:textId="0FAC0FAF" w:rsidR="007C3F55" w:rsidRPr="006B475F" w:rsidRDefault="007C3F55" w:rsidP="007C3F55">
      <w:pPr>
        <w:pStyle w:val="ListParagraph"/>
        <w:numPr>
          <w:ilvl w:val="0"/>
          <w:numId w:val="2"/>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simptome și semne sugestive pt. BAP</w:t>
      </w:r>
      <w:r w:rsidR="00616C0C">
        <w:rPr>
          <w:rFonts w:ascii="Times New Roman" w:hAnsi="Times New Roman" w:cs="Times New Roman"/>
          <w:noProof/>
          <w:lang w:val="ro-RO"/>
        </w:rPr>
        <w:t xml:space="preserve"> (boala arterială periferică)</w:t>
      </w:r>
      <w:r w:rsidRPr="006B475F">
        <w:rPr>
          <w:rFonts w:ascii="Times New Roman" w:hAnsi="Times New Roman" w:cs="Times New Roman"/>
          <w:noProof/>
          <w:lang w:val="ro-RO"/>
        </w:rPr>
        <w:t>,</w:t>
      </w:r>
    </w:p>
    <w:p w14:paraId="771531B0" w14:textId="77777777" w:rsidR="007C3F55" w:rsidRPr="006B475F" w:rsidRDefault="007C3F55" w:rsidP="007C3F55">
      <w:pPr>
        <w:pStyle w:val="ListParagraph"/>
        <w:numPr>
          <w:ilvl w:val="0"/>
          <w:numId w:val="2"/>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reclasificarea riscului moderat --- înalt.</w:t>
      </w:r>
    </w:p>
    <w:p w14:paraId="03201A56" w14:textId="77777777"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b/>
          <w:bCs/>
          <w:noProof/>
          <w:lang w:val="ro-RO"/>
        </w:rPr>
        <w:t>Ecografie abdominală</w:t>
      </w:r>
      <w:r w:rsidRPr="006B475F">
        <w:rPr>
          <w:rFonts w:ascii="Times New Roman" w:hAnsi="Times New Roman" w:cs="Times New Roman"/>
          <w:noProof/>
          <w:lang w:val="ro-RO"/>
        </w:rPr>
        <w:t xml:space="preserve"> +/- Doppler al arterelor renale</w:t>
      </w:r>
    </w:p>
    <w:p w14:paraId="019F1037" w14:textId="77777777" w:rsidR="007C3F55" w:rsidRPr="006B475F" w:rsidRDefault="007C3F55" w:rsidP="007C3F55">
      <w:pPr>
        <w:pStyle w:val="ListParagraph"/>
        <w:numPr>
          <w:ilvl w:val="0"/>
          <w:numId w:val="3"/>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modificări la examenul urinei (RAC, eRFG),</w:t>
      </w:r>
    </w:p>
    <w:p w14:paraId="4E3DBF96" w14:textId="77777777" w:rsidR="007C3F55" w:rsidRPr="006B475F" w:rsidRDefault="007C3F55" w:rsidP="007C3F55">
      <w:pPr>
        <w:pStyle w:val="ListParagraph"/>
        <w:numPr>
          <w:ilvl w:val="0"/>
          <w:numId w:val="3"/>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suspiciune de HTA secundară.</w:t>
      </w:r>
    </w:p>
    <w:p w14:paraId="31EBB168" w14:textId="77777777"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Evaluare </w:t>
      </w:r>
      <w:r w:rsidRPr="006B475F">
        <w:rPr>
          <w:rFonts w:ascii="Times New Roman" w:hAnsi="Times New Roman" w:cs="Times New Roman"/>
          <w:b/>
          <w:bCs/>
          <w:noProof/>
          <w:lang w:val="ro-RO"/>
        </w:rPr>
        <w:t>neurologică</w:t>
      </w:r>
      <w:r w:rsidRPr="006B475F">
        <w:rPr>
          <w:rFonts w:ascii="Times New Roman" w:hAnsi="Times New Roman" w:cs="Times New Roman"/>
          <w:noProof/>
          <w:lang w:val="ro-RO"/>
        </w:rPr>
        <w:t xml:space="preserve"> +/- imagistică cerebrală</w:t>
      </w:r>
    </w:p>
    <w:p w14:paraId="3A01BA4C" w14:textId="77777777" w:rsidR="007C3F55" w:rsidRPr="006B475F" w:rsidRDefault="007C3F55" w:rsidP="007C3F55">
      <w:pPr>
        <w:pStyle w:val="ListParagraph"/>
        <w:numPr>
          <w:ilvl w:val="0"/>
          <w:numId w:val="4"/>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manifestări sugestive pentru deteriorare cognitivă sau AIT/AVC.</w:t>
      </w:r>
    </w:p>
    <w:p w14:paraId="6F54D571" w14:textId="3B2890DC" w:rsidR="007C3F55" w:rsidRPr="006B475F"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Consult </w:t>
      </w:r>
      <w:r w:rsidRPr="006B475F">
        <w:rPr>
          <w:rFonts w:ascii="Times New Roman" w:hAnsi="Times New Roman" w:cs="Times New Roman"/>
          <w:b/>
          <w:bCs/>
          <w:noProof/>
          <w:lang w:val="ro-RO"/>
        </w:rPr>
        <w:t xml:space="preserve">oftalmologic </w:t>
      </w:r>
      <w:r w:rsidRPr="006B475F">
        <w:rPr>
          <w:rFonts w:ascii="Times New Roman" w:hAnsi="Times New Roman" w:cs="Times New Roman"/>
          <w:noProof/>
          <w:lang w:val="ro-RO"/>
        </w:rPr>
        <w:t>ș</w:t>
      </w:r>
      <w:r w:rsidR="00616C0C">
        <w:rPr>
          <w:rFonts w:ascii="Times New Roman" w:hAnsi="Times New Roman" w:cs="Times New Roman"/>
          <w:noProof/>
          <w:lang w:val="ro-RO"/>
        </w:rPr>
        <w:t>i examen fund</w:t>
      </w:r>
      <w:r w:rsidRPr="006B475F">
        <w:rPr>
          <w:rFonts w:ascii="Times New Roman" w:hAnsi="Times New Roman" w:cs="Times New Roman"/>
          <w:noProof/>
          <w:lang w:val="ro-RO"/>
        </w:rPr>
        <w:t xml:space="preserve"> de ochi</w:t>
      </w:r>
    </w:p>
    <w:p w14:paraId="248D361B" w14:textId="77777777" w:rsidR="007C3F55" w:rsidRPr="006B475F" w:rsidRDefault="007C3F55" w:rsidP="007C3F55">
      <w:pPr>
        <w:pStyle w:val="ListParagraph"/>
        <w:numPr>
          <w:ilvl w:val="0"/>
          <w:numId w:val="4"/>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HTA gradul 2/3,</w:t>
      </w:r>
    </w:p>
    <w:p w14:paraId="58616C6B" w14:textId="77777777" w:rsidR="007C3F55" w:rsidRPr="006B475F" w:rsidRDefault="007C3F55" w:rsidP="007C3F55">
      <w:pPr>
        <w:pStyle w:val="ListParagraph"/>
        <w:numPr>
          <w:ilvl w:val="0"/>
          <w:numId w:val="4"/>
        </w:numPr>
        <w:spacing w:line="276" w:lineRule="auto"/>
        <w:jc w:val="both"/>
        <w:rPr>
          <w:rFonts w:ascii="Times New Roman" w:hAnsi="Times New Roman" w:cs="Times New Roman"/>
          <w:noProof/>
          <w:lang w:val="ro-RO"/>
        </w:rPr>
      </w:pPr>
      <w:r>
        <w:rPr>
          <w:rFonts w:ascii="Times New Roman" w:hAnsi="Times New Roman" w:cs="Times New Roman"/>
          <w:noProof/>
          <w:lang w:val="ro-RO"/>
        </w:rPr>
        <w:t>d</w:t>
      </w:r>
      <w:r w:rsidRPr="006B475F">
        <w:rPr>
          <w:rFonts w:ascii="Times New Roman" w:hAnsi="Times New Roman" w:cs="Times New Roman"/>
          <w:noProof/>
          <w:lang w:val="ro-RO"/>
        </w:rPr>
        <w:t>iabet zaharat,</w:t>
      </w:r>
    </w:p>
    <w:p w14:paraId="2C893112" w14:textId="77777777" w:rsidR="007C3F55" w:rsidRPr="006B475F" w:rsidRDefault="007C3F55" w:rsidP="007C3F55">
      <w:pPr>
        <w:pStyle w:val="ListParagraph"/>
        <w:numPr>
          <w:ilvl w:val="0"/>
          <w:numId w:val="4"/>
        </w:num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în alte situații.</w:t>
      </w:r>
    </w:p>
    <w:p w14:paraId="1A7FE43A" w14:textId="77777777" w:rsidR="00616C0C" w:rsidRDefault="007C3F55" w:rsidP="007C3F55">
      <w:pPr>
        <w:spacing w:line="276" w:lineRule="auto"/>
        <w:jc w:val="both"/>
        <w:rPr>
          <w:rFonts w:ascii="Times New Roman" w:hAnsi="Times New Roman" w:cs="Times New Roman"/>
          <w:noProof/>
          <w:lang w:val="ro-RO"/>
        </w:rPr>
      </w:pPr>
      <w:r w:rsidRPr="006B475F">
        <w:rPr>
          <w:rFonts w:ascii="Times New Roman" w:hAnsi="Times New Roman" w:cs="Times New Roman"/>
          <w:noProof/>
          <w:lang w:val="ro-RO"/>
        </w:rPr>
        <w:t xml:space="preserve">HTA </w:t>
      </w:r>
      <w:r w:rsidRPr="006B475F">
        <w:rPr>
          <w:rFonts w:ascii="Times New Roman" w:hAnsi="Times New Roman" w:cs="Times New Roman"/>
          <w:b/>
          <w:bCs/>
          <w:noProof/>
          <w:lang w:val="ro-RO"/>
        </w:rPr>
        <w:t>secundară</w:t>
      </w:r>
      <w:r w:rsidR="00616C0C">
        <w:rPr>
          <w:rFonts w:ascii="Times New Roman" w:hAnsi="Times New Roman" w:cs="Times New Roman"/>
          <w:b/>
          <w:bCs/>
          <w:noProof/>
          <w:lang w:val="ro-RO"/>
        </w:rPr>
        <w:t>?</w:t>
      </w:r>
      <w:r w:rsidRPr="006B475F">
        <w:rPr>
          <w:rFonts w:ascii="Times New Roman" w:hAnsi="Times New Roman" w:cs="Times New Roman"/>
          <w:noProof/>
          <w:lang w:val="ro-RO"/>
        </w:rPr>
        <w:t xml:space="preserve">: </w:t>
      </w:r>
    </w:p>
    <w:p w14:paraId="791798BF" w14:textId="156BFE60" w:rsidR="00616C0C" w:rsidRDefault="00616C0C" w:rsidP="00616C0C">
      <w:pPr>
        <w:pStyle w:val="ListParagraph"/>
        <w:numPr>
          <w:ilvl w:val="0"/>
          <w:numId w:val="7"/>
        </w:numPr>
        <w:spacing w:line="276" w:lineRule="auto"/>
        <w:jc w:val="both"/>
        <w:rPr>
          <w:rFonts w:ascii="Times New Roman" w:hAnsi="Times New Roman" w:cs="Times New Roman"/>
          <w:noProof/>
          <w:lang w:val="ro-RO"/>
        </w:rPr>
      </w:pPr>
      <w:r>
        <w:rPr>
          <w:rFonts w:ascii="Times New Roman" w:hAnsi="Times New Roman" w:cs="Times New Roman"/>
          <w:noProof/>
          <w:lang w:val="ro-RO"/>
        </w:rPr>
        <w:t xml:space="preserve">Distiroidie?, Hiperaldosteronism?, Feocromocitom?, Sindrom Cushing? - </w:t>
      </w:r>
      <w:r w:rsidR="007C3F55" w:rsidRPr="00616C0C">
        <w:rPr>
          <w:rFonts w:ascii="Times New Roman" w:hAnsi="Times New Roman" w:cs="Times New Roman"/>
          <w:noProof/>
          <w:lang w:val="ro-RO"/>
        </w:rPr>
        <w:t>consult endocrinologic, determinări hormonale</w:t>
      </w:r>
      <w:r>
        <w:rPr>
          <w:rFonts w:ascii="Times New Roman" w:hAnsi="Times New Roman" w:cs="Times New Roman"/>
          <w:noProof/>
          <w:lang w:val="ro-RO"/>
        </w:rPr>
        <w:t xml:space="preserve"> </w:t>
      </w:r>
    </w:p>
    <w:p w14:paraId="262C3E1B" w14:textId="0ACFF47A" w:rsidR="007C3F55" w:rsidRDefault="00616C0C" w:rsidP="00616C0C">
      <w:pPr>
        <w:pStyle w:val="ListParagraph"/>
        <w:numPr>
          <w:ilvl w:val="0"/>
          <w:numId w:val="7"/>
        </w:numPr>
        <w:spacing w:line="276" w:lineRule="auto"/>
        <w:jc w:val="both"/>
        <w:rPr>
          <w:rFonts w:ascii="Times New Roman" w:hAnsi="Times New Roman" w:cs="Times New Roman"/>
          <w:noProof/>
          <w:lang w:val="ro-RO"/>
        </w:rPr>
      </w:pPr>
      <w:r>
        <w:rPr>
          <w:rFonts w:ascii="Times New Roman" w:hAnsi="Times New Roman" w:cs="Times New Roman"/>
          <w:noProof/>
          <w:lang w:val="ro-RO"/>
        </w:rPr>
        <w:t>Stenoze de artere renale?</w:t>
      </w:r>
      <w:r w:rsidR="007C3F55" w:rsidRPr="00616C0C">
        <w:rPr>
          <w:rFonts w:ascii="Times New Roman" w:hAnsi="Times New Roman" w:cs="Times New Roman"/>
          <w:noProof/>
          <w:lang w:val="ro-RO"/>
        </w:rPr>
        <w:t xml:space="preserve"> </w:t>
      </w:r>
      <w:r w:rsidRPr="00616C0C">
        <w:rPr>
          <w:rFonts w:ascii="Times New Roman" w:hAnsi="Times New Roman" w:cs="Times New Roman"/>
          <w:noProof/>
          <w:lang w:val="ro-RO"/>
        </w:rPr>
        <w:t>ecografie abdominală</w:t>
      </w:r>
      <w:r>
        <w:rPr>
          <w:rFonts w:ascii="Times New Roman" w:hAnsi="Times New Roman" w:cs="Times New Roman"/>
          <w:noProof/>
          <w:lang w:val="ro-RO"/>
        </w:rPr>
        <w:t>, ecografie Doppler de artere renale</w:t>
      </w:r>
      <w:bookmarkStart w:id="0" w:name="_GoBack"/>
      <w:bookmarkEnd w:id="0"/>
      <w:r w:rsidRPr="00616C0C">
        <w:rPr>
          <w:rFonts w:ascii="Times New Roman" w:hAnsi="Times New Roman" w:cs="Times New Roman"/>
          <w:noProof/>
          <w:lang w:val="ro-RO"/>
        </w:rPr>
        <w:t>.</w:t>
      </w:r>
    </w:p>
    <w:p w14:paraId="2ABE8CEC" w14:textId="18E0327D" w:rsidR="00616C0C" w:rsidRPr="00616C0C" w:rsidRDefault="00616C0C" w:rsidP="00616C0C">
      <w:pPr>
        <w:pStyle w:val="ListParagraph"/>
        <w:numPr>
          <w:ilvl w:val="0"/>
          <w:numId w:val="7"/>
        </w:numPr>
        <w:spacing w:line="276" w:lineRule="auto"/>
        <w:jc w:val="both"/>
        <w:rPr>
          <w:rFonts w:ascii="Times New Roman" w:hAnsi="Times New Roman" w:cs="Times New Roman"/>
          <w:noProof/>
          <w:lang w:val="ro-RO"/>
        </w:rPr>
      </w:pPr>
      <w:r>
        <w:rPr>
          <w:rFonts w:ascii="Times New Roman" w:hAnsi="Times New Roman" w:cs="Times New Roman"/>
          <w:noProof/>
          <w:lang w:val="ro-RO"/>
        </w:rPr>
        <w:t>SASO – poligrafie respiratorie</w:t>
      </w:r>
    </w:p>
    <w:p w14:paraId="0A575EFD" w14:textId="77777777" w:rsidR="007C3F55" w:rsidRPr="006B475F" w:rsidRDefault="007C3F55" w:rsidP="007C3F55">
      <w:pPr>
        <w:tabs>
          <w:tab w:val="left" w:pos="2330"/>
        </w:tabs>
        <w:spacing w:line="276" w:lineRule="auto"/>
        <w:jc w:val="both"/>
        <w:rPr>
          <w:rFonts w:ascii="Times New Roman" w:hAnsi="Times New Roman" w:cs="Times New Roman"/>
          <w:noProof/>
          <w:lang w:val="ro-RO"/>
        </w:rPr>
      </w:pPr>
    </w:p>
    <w:p w14:paraId="54E3C6D5" w14:textId="77777777" w:rsidR="007C3F55" w:rsidRDefault="007C3F55" w:rsidP="007C3F55">
      <w:pPr>
        <w:spacing w:line="276" w:lineRule="auto"/>
        <w:jc w:val="both"/>
        <w:rPr>
          <w:rFonts w:ascii="Times New Roman" w:hAnsi="Times New Roman" w:cs="Times New Roman"/>
          <w:b/>
          <w:bCs/>
          <w:noProof/>
          <w:lang w:val="ro-RO"/>
        </w:rPr>
      </w:pPr>
    </w:p>
    <w:p w14:paraId="15010ACF" w14:textId="77777777" w:rsidR="00D52470" w:rsidRPr="00FC4960" w:rsidRDefault="00D52470" w:rsidP="008151B3">
      <w:pPr>
        <w:pStyle w:val="ListParagraph"/>
        <w:spacing w:line="276" w:lineRule="auto"/>
        <w:jc w:val="both"/>
        <w:rPr>
          <w:rFonts w:ascii="Times New Roman" w:hAnsi="Times New Roman" w:cs="Times New Roman"/>
          <w:noProof/>
          <w:lang w:val="ro-RO"/>
        </w:rPr>
      </w:pPr>
    </w:p>
    <w:p w14:paraId="61EE4184" w14:textId="06ADBEE2" w:rsidR="00D52470" w:rsidRDefault="00D52470" w:rsidP="008151B3">
      <w:pPr>
        <w:spacing w:line="276" w:lineRule="auto"/>
        <w:jc w:val="both"/>
        <w:rPr>
          <w:rFonts w:ascii="Times New Roman" w:hAnsi="Times New Roman" w:cs="Times New Roman"/>
          <w:b/>
          <w:bCs/>
          <w:noProof/>
          <w:lang w:val="ro-RO"/>
        </w:rPr>
      </w:pPr>
      <w:r w:rsidRPr="00D52470">
        <w:rPr>
          <w:rFonts w:ascii="Times New Roman" w:hAnsi="Times New Roman" w:cs="Times New Roman"/>
          <w:b/>
          <w:bCs/>
          <w:noProof/>
          <w:lang w:val="ro-RO"/>
        </w:rPr>
        <w:t>Bibliografie</w:t>
      </w:r>
    </w:p>
    <w:p w14:paraId="528088D1" w14:textId="74BBC771" w:rsidR="00D52470" w:rsidRPr="008151B3" w:rsidRDefault="00D52470" w:rsidP="008151B3">
      <w:pPr>
        <w:autoSpaceDE w:val="0"/>
        <w:autoSpaceDN w:val="0"/>
        <w:adjustRightInd w:val="0"/>
        <w:spacing w:after="0" w:line="276" w:lineRule="auto"/>
        <w:jc w:val="both"/>
        <w:rPr>
          <w:rFonts w:ascii="Times New Roman" w:hAnsi="Times New Roman" w:cs="Times New Roman"/>
          <w:noProof/>
          <w:sz w:val="16"/>
          <w:szCs w:val="16"/>
          <w:lang w:val="ro-RO"/>
        </w:rPr>
      </w:pPr>
      <w:r w:rsidRPr="008151B3">
        <w:rPr>
          <w:rFonts w:ascii="Times New Roman" w:hAnsi="Times New Roman" w:cs="Times New Roman"/>
          <w:noProof/>
          <w:sz w:val="16"/>
          <w:szCs w:val="16"/>
          <w:lang w:val="ro-RO"/>
        </w:rPr>
        <w:t>1.</w:t>
      </w:r>
      <w:r w:rsidRPr="008151B3">
        <w:rPr>
          <w:sz w:val="16"/>
          <w:szCs w:val="16"/>
        </w:rPr>
        <w:t xml:space="preserve"> </w:t>
      </w:r>
      <w:r w:rsidRPr="008151B3">
        <w:rPr>
          <w:rFonts w:ascii="Times New Roman" w:hAnsi="Times New Roman" w:cs="Times New Roman"/>
          <w:noProof/>
          <w:sz w:val="16"/>
          <w:szCs w:val="16"/>
          <w:lang w:val="ro-RO"/>
        </w:rPr>
        <w:t xml:space="preserve">Bryan Williams, Giuseppe Mancia, Wilko Spiering, Enrico Agabiti Rosei, Michel Azizi, Michel Burnier, Denis L Clement, Antonio Coca, Giovanni de Simone, Anna Dominiczak, Thomas Kahan, Felix Mahfoud, Josep Redon, Luis Ruilope, Alberto Zanchetti, Mary Kerins, Sverre E Kjeldsen, Reinhold Kreutz, Stephane Laurent, Gregory Y H Lip, Richard McManus, Krzysztof Narkiewicz, Frank Ruschitzka, Roland E Schmieder, Evgeny Shlyakhto, Costas Tsioufis, Victor Aboyans, Ileana Desormais, ESC Scientific Document Group, 2018 ESC/ESH Guidelines for the management of arterial hypertension: The Task Force for the management of arterial hypertension of the European Society of Cardiology (ESC) and the European Society of Hypertension (ESH), </w:t>
      </w:r>
      <w:r w:rsidRPr="008151B3">
        <w:rPr>
          <w:rStyle w:val="Emphasis"/>
          <w:rFonts w:ascii="Times New Roman" w:hAnsi="Times New Roman" w:cs="Times New Roman"/>
          <w:noProof/>
          <w:sz w:val="16"/>
          <w:szCs w:val="16"/>
          <w:lang w:val="ro-RO"/>
        </w:rPr>
        <w:t>European Heart Journal</w:t>
      </w:r>
      <w:r w:rsidRPr="008151B3">
        <w:rPr>
          <w:rFonts w:ascii="Times New Roman" w:hAnsi="Times New Roman" w:cs="Times New Roman"/>
          <w:noProof/>
          <w:sz w:val="16"/>
          <w:szCs w:val="16"/>
          <w:lang w:val="ro-RO"/>
        </w:rPr>
        <w:t xml:space="preserve">, Volume 39, Issue 33, 01 September 2018, Pages 3021–3104, </w:t>
      </w:r>
      <w:hyperlink r:id="rId9" w:history="1">
        <w:r w:rsidRPr="008151B3">
          <w:rPr>
            <w:rStyle w:val="Hyperlink"/>
            <w:rFonts w:ascii="Times New Roman" w:hAnsi="Times New Roman" w:cs="Times New Roman"/>
            <w:noProof/>
            <w:sz w:val="16"/>
            <w:szCs w:val="16"/>
            <w:lang w:val="ro-RO"/>
          </w:rPr>
          <w:t>https://doi.org/10.1093/eurheartj/ehy339</w:t>
        </w:r>
      </w:hyperlink>
    </w:p>
    <w:p w14:paraId="62DF238C" w14:textId="77777777" w:rsidR="008151B3" w:rsidRPr="008151B3" w:rsidRDefault="008151B3" w:rsidP="008151B3">
      <w:pPr>
        <w:autoSpaceDE w:val="0"/>
        <w:autoSpaceDN w:val="0"/>
        <w:adjustRightInd w:val="0"/>
        <w:spacing w:after="0" w:line="276" w:lineRule="auto"/>
        <w:jc w:val="both"/>
        <w:rPr>
          <w:rFonts w:ascii="Times New Roman" w:hAnsi="Times New Roman" w:cs="Times New Roman"/>
          <w:noProof/>
          <w:sz w:val="16"/>
          <w:szCs w:val="16"/>
          <w:lang w:val="ro-RO"/>
        </w:rPr>
      </w:pPr>
    </w:p>
    <w:p w14:paraId="5DF4246E" w14:textId="479C102A" w:rsidR="00C53F2D" w:rsidRDefault="008151B3" w:rsidP="00E027C3">
      <w:pPr>
        <w:spacing w:line="276" w:lineRule="auto"/>
        <w:jc w:val="both"/>
      </w:pPr>
      <w:r w:rsidRPr="008151B3">
        <w:rPr>
          <w:rFonts w:ascii="Times New Roman" w:hAnsi="Times New Roman" w:cs="Times New Roman"/>
          <w:noProof/>
          <w:sz w:val="16"/>
          <w:szCs w:val="16"/>
          <w:lang w:val="ro-RO"/>
        </w:rPr>
        <w:t xml:space="preserve">2. </w:t>
      </w:r>
      <w:r w:rsidR="00D52470" w:rsidRPr="008151B3">
        <w:rPr>
          <w:rFonts w:ascii="Times New Roman" w:hAnsi="Times New Roman" w:cs="Times New Roman"/>
          <w:noProof/>
          <w:sz w:val="16"/>
          <w:szCs w:val="16"/>
          <w:lang w:val="ro-RO"/>
        </w:rPr>
        <w:t>Thomas Unger, Claudio Borghi, Fadi Charchar, Nadia A. Khan, Neil R. Poulter, Dorairaj Prabhakaran, Agustin Ramirez, Markus Schlaich, George S. Stergiou, Maciej Tomaszewski, Richard D. Wainford, Bryan Williams, and Aletta E. Schutte</w:t>
      </w:r>
      <w:r w:rsidRPr="008151B3">
        <w:rPr>
          <w:rFonts w:ascii="Times New Roman" w:hAnsi="Times New Roman" w:cs="Times New Roman"/>
          <w:noProof/>
          <w:sz w:val="16"/>
          <w:szCs w:val="16"/>
          <w:lang w:val="ro-RO"/>
        </w:rPr>
        <w:t xml:space="preserve">, 2020 International Society of Hypertension Global Hypertension Practice Guidelines,  </w:t>
      </w:r>
      <w:r w:rsidRPr="008151B3">
        <w:rPr>
          <w:rFonts w:ascii="Times New Roman" w:hAnsi="Times New Roman" w:cs="Times New Roman"/>
          <w:i/>
          <w:iCs/>
          <w:noProof/>
          <w:sz w:val="16"/>
          <w:szCs w:val="16"/>
          <w:lang w:val="ro-RO"/>
        </w:rPr>
        <w:t>Hypertension</w:t>
      </w:r>
      <w:r w:rsidRPr="008151B3">
        <w:rPr>
          <w:rFonts w:ascii="Times New Roman" w:hAnsi="Times New Roman" w:cs="Times New Roman"/>
          <w:noProof/>
          <w:sz w:val="16"/>
          <w:szCs w:val="16"/>
          <w:lang w:val="ro-RO"/>
        </w:rPr>
        <w:t xml:space="preserve">,Volume 75, Issue 6, June 2020; Pages 1334-1357, </w:t>
      </w:r>
      <w:hyperlink r:id="rId10" w:history="1">
        <w:r w:rsidRPr="008151B3">
          <w:rPr>
            <w:rStyle w:val="Hyperlink"/>
            <w:rFonts w:ascii="Times New Roman" w:hAnsi="Times New Roman" w:cs="Times New Roman"/>
            <w:noProof/>
            <w:sz w:val="16"/>
            <w:szCs w:val="16"/>
            <w:lang w:val="ro-RO"/>
          </w:rPr>
          <w:t>https://doi.org/10.1161/HYPERTENSIONAHA.120.15026</w:t>
        </w:r>
      </w:hyperlink>
    </w:p>
    <w:sectPr w:rsidR="00C53F2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94321" w14:textId="77777777" w:rsidR="00011CA0" w:rsidRDefault="00011CA0" w:rsidP="00E027C3">
      <w:pPr>
        <w:spacing w:after="0" w:line="240" w:lineRule="auto"/>
      </w:pPr>
      <w:r>
        <w:separator/>
      </w:r>
    </w:p>
  </w:endnote>
  <w:endnote w:type="continuationSeparator" w:id="0">
    <w:p w14:paraId="46A2418E" w14:textId="77777777" w:rsidR="00011CA0" w:rsidRDefault="00011CA0" w:rsidP="00E0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C8BF1" w14:textId="77777777" w:rsidR="00011CA0" w:rsidRDefault="00011CA0" w:rsidP="00E027C3">
      <w:pPr>
        <w:spacing w:after="0" w:line="240" w:lineRule="auto"/>
      </w:pPr>
      <w:r>
        <w:separator/>
      </w:r>
    </w:p>
  </w:footnote>
  <w:footnote w:type="continuationSeparator" w:id="0">
    <w:p w14:paraId="3B1E5E59" w14:textId="77777777" w:rsidR="00011CA0" w:rsidRDefault="00011CA0" w:rsidP="00E02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612A" w14:textId="43B54D4E" w:rsidR="00E027C3" w:rsidRDefault="00E027C3">
    <w:pPr>
      <w:pStyle w:val="Header"/>
    </w:pPr>
    <w:r>
      <w:rPr>
        <w:noProof/>
      </w:rPr>
      <mc:AlternateContent>
        <mc:Choice Requires="wps">
          <w:drawing>
            <wp:anchor distT="0" distB="0" distL="114300" distR="114300" simplePos="0" relativeHeight="251661312" behindDoc="0" locked="0" layoutInCell="1" allowOverlap="1" wp14:anchorId="1D638187" wp14:editId="443F61C5">
              <wp:simplePos x="0" y="0"/>
              <wp:positionH relativeFrom="column">
                <wp:posOffset>5695950</wp:posOffset>
              </wp:positionH>
              <wp:positionV relativeFrom="paragraph">
                <wp:posOffset>-361950</wp:posOffset>
              </wp:positionV>
              <wp:extent cx="876300" cy="714375"/>
              <wp:effectExtent l="0" t="0" r="0" b="0"/>
              <wp:wrapNone/>
              <wp:docPr id="4" name="Text Box 4"/>
              <wp:cNvGraphicFramePr/>
              <a:graphic xmlns:a="http://schemas.openxmlformats.org/drawingml/2006/main">
                <a:graphicData uri="http://schemas.microsoft.com/office/word/2010/wordprocessingShape">
                  <wps:wsp>
                    <wps:cNvSpPr txBox="1"/>
                    <wps:spPr>
                      <a:xfrm>
                        <a:off x="0" y="0"/>
                        <a:ext cx="87630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20F05" w14:textId="12638731" w:rsidR="00E027C3" w:rsidRDefault="00E027C3" w:rsidP="00E027C3">
                          <w:pPr>
                            <w:jc w:val="right"/>
                          </w:pPr>
                          <w:r>
                            <w:rPr>
                              <w:noProof/>
                            </w:rPr>
                            <w:drawing>
                              <wp:inline distT="0" distB="0" distL="0" distR="0" wp14:anchorId="0F462929" wp14:editId="080F48BD">
                                <wp:extent cx="687521" cy="613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99990" cy="6247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8.5pt;margin-top:-28.5pt;width:69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" filled="f" stroked="f" strokeweight=".5pt">
              <v:textbox>
                <w:txbxContent>
                  <w:p w14:paraId="19220F05" w14:textId="12638731" w:rsidR="00E027C3" w:rsidRDefault="00E027C3" w:rsidP="00E027C3">
                    <w:pPr>
                      <w:jc w:val="right"/>
                    </w:pPr>
                    <w:r>
                      <w:rPr>
                        <w:noProof/>
                      </w:rPr>
                      <w:drawing>
                        <wp:inline distT="0" distB="0" distL="0" distR="0" wp14:anchorId="0F462929" wp14:editId="080F48BD">
                          <wp:extent cx="687521" cy="613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99990" cy="624723"/>
                                  </a:xfrm>
                                  <a:prstGeom prst="rect">
                                    <a:avLst/>
                                  </a:prstGeom>
                                </pic:spPr>
                              </pic:pic>
                            </a:graphicData>
                          </a:graphic>
                        </wp:inline>
                      </w:drawing>
                    </w:r>
                  </w:p>
                </w:txbxContent>
              </v:textbox>
            </v:shape>
          </w:pict>
        </mc:Fallback>
      </mc:AlternateContent>
    </w:r>
    <w:r>
      <w:t xml:space="preserve">       </w:t>
    </w:r>
    <w:r>
      <w:rPr>
        <w:noProof/>
      </w:rPr>
      <mc:AlternateContent>
        <mc:Choice Requires="wps">
          <w:drawing>
            <wp:anchor distT="0" distB="0" distL="114300" distR="114300" simplePos="0" relativeHeight="251660288" behindDoc="0" locked="0" layoutInCell="0" allowOverlap="1" wp14:anchorId="758ECE7B" wp14:editId="467399CD">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5562CC49" w14:textId="64AABBF2" w:rsidR="00E027C3" w:rsidRPr="00E027C3" w:rsidRDefault="00E027C3">
                              <w:pPr>
                                <w:spacing w:after="0" w:line="240" w:lineRule="auto"/>
                                <w:rPr>
                                  <w:b/>
                                </w:rPr>
                              </w:pPr>
                              <w:r w:rsidRPr="00E027C3">
                                <w:rPr>
                                  <w:b/>
                                </w:rPr>
                                <w:t>GRUPUL DE LUCRU DE HIPERTENSIUNE ARTERIALA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473"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4+rgIAAKY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" o:allowincell="f" filled="f" stroked="f">
              <v:textbox style="mso-fit-shape-to-text:t" inset=",0,,0">
                <w:txbxContent>
                  <w:sdt>
                    <w:sdtPr>
                      <w:rPr>
                        <w:b/>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5562CC49" w14:textId="64AABBF2" w:rsidR="00E027C3" w:rsidRPr="00E027C3" w:rsidRDefault="00E027C3">
                        <w:pPr>
                          <w:spacing w:after="0" w:line="240" w:lineRule="auto"/>
                          <w:rPr>
                            <w:b/>
                          </w:rPr>
                        </w:pPr>
                        <w:r w:rsidRPr="00E027C3">
                          <w:rPr>
                            <w:b/>
                          </w:rPr>
                          <w:t>GRUPUL DE LUCRU DE HIPERTENSIUNE ARTERIALA</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CA7EFB3" wp14:editId="21A370CF">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2CDA4736" w14:textId="77777777" w:rsidR="00E027C3" w:rsidRDefault="00E027C3">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616C0C" w:rsidRPr="00616C0C">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474"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KGgR1MAAgAA6QMAAA4AAAAAAAAAAAAA&#10;AAAALgIAAGRycy9lMm9Eb2MueG1sUEsBAi0AFAAGAAgAAAAhADRpgQvbAAAABAEAAA8AAAAAAAAA&#10;AAAAAAAAWgQAAGRycy9kb3ducmV2LnhtbFBLBQYAAAAABAAEAPMAAABiBQAAAAA=&#10;" o:allowincell="f" fillcolor="#d34817 [3204]" stroked="f">
              <v:textbox style="mso-fit-shape-to-text:t" inset=",0,,0">
                <w:txbxContent>
                  <w:p w14:paraId="2CDA4736" w14:textId="77777777" w:rsidR="00E027C3" w:rsidRDefault="00E027C3">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616C0C" w:rsidRPr="00616C0C">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ED1"/>
    <w:multiLevelType w:val="hybridMultilevel"/>
    <w:tmpl w:val="BA38B0B0"/>
    <w:lvl w:ilvl="0" w:tplc="3604C3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3799F"/>
    <w:multiLevelType w:val="hybridMultilevel"/>
    <w:tmpl w:val="F2B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848EF"/>
    <w:multiLevelType w:val="hybridMultilevel"/>
    <w:tmpl w:val="737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120AF"/>
    <w:multiLevelType w:val="hybridMultilevel"/>
    <w:tmpl w:val="044E7DB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D1C36"/>
    <w:multiLevelType w:val="hybridMultilevel"/>
    <w:tmpl w:val="3218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B3DA1"/>
    <w:multiLevelType w:val="hybridMultilevel"/>
    <w:tmpl w:val="2E36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D316B"/>
    <w:multiLevelType w:val="hybridMultilevel"/>
    <w:tmpl w:val="1E8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1C"/>
    <w:rsid w:val="00011CA0"/>
    <w:rsid w:val="000F6B65"/>
    <w:rsid w:val="0025311C"/>
    <w:rsid w:val="00257873"/>
    <w:rsid w:val="00616C0C"/>
    <w:rsid w:val="007C3F55"/>
    <w:rsid w:val="008151B3"/>
    <w:rsid w:val="00996EDA"/>
    <w:rsid w:val="00C53F2D"/>
    <w:rsid w:val="00D52470"/>
    <w:rsid w:val="00DE2F00"/>
    <w:rsid w:val="00E027C3"/>
    <w:rsid w:val="00E3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470"/>
    <w:pPr>
      <w:ind w:left="720"/>
      <w:contextualSpacing/>
    </w:pPr>
  </w:style>
  <w:style w:type="table" w:styleId="TableGrid">
    <w:name w:val="Table Grid"/>
    <w:basedOn w:val="TableNormal"/>
    <w:uiPriority w:val="39"/>
    <w:rsid w:val="00D5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52470"/>
    <w:rPr>
      <w:i/>
      <w:iCs/>
    </w:rPr>
  </w:style>
  <w:style w:type="character" w:styleId="Hyperlink">
    <w:name w:val="Hyperlink"/>
    <w:basedOn w:val="DefaultParagraphFont"/>
    <w:uiPriority w:val="99"/>
    <w:unhideWhenUsed/>
    <w:rsid w:val="00D52470"/>
    <w:rPr>
      <w:color w:val="0000FF"/>
      <w:u w:val="single"/>
    </w:rPr>
  </w:style>
  <w:style w:type="character" w:customStyle="1" w:styleId="UnresolvedMention">
    <w:name w:val="Unresolved Mention"/>
    <w:basedOn w:val="DefaultParagraphFont"/>
    <w:uiPriority w:val="99"/>
    <w:semiHidden/>
    <w:unhideWhenUsed/>
    <w:rsid w:val="008151B3"/>
    <w:rPr>
      <w:color w:val="605E5C"/>
      <w:shd w:val="clear" w:color="auto" w:fill="E1DFDD"/>
    </w:rPr>
  </w:style>
  <w:style w:type="paragraph" w:styleId="BalloonText">
    <w:name w:val="Balloon Text"/>
    <w:basedOn w:val="Normal"/>
    <w:link w:val="BalloonTextChar"/>
    <w:uiPriority w:val="99"/>
    <w:semiHidden/>
    <w:unhideWhenUsed/>
    <w:rsid w:val="000F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65"/>
    <w:rPr>
      <w:rFonts w:ascii="Tahoma" w:hAnsi="Tahoma" w:cs="Tahoma"/>
      <w:sz w:val="16"/>
      <w:szCs w:val="16"/>
    </w:rPr>
  </w:style>
  <w:style w:type="paragraph" w:styleId="Header">
    <w:name w:val="header"/>
    <w:basedOn w:val="Normal"/>
    <w:link w:val="HeaderChar"/>
    <w:uiPriority w:val="99"/>
    <w:unhideWhenUsed/>
    <w:rsid w:val="00E0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C3"/>
  </w:style>
  <w:style w:type="paragraph" w:styleId="Footer">
    <w:name w:val="footer"/>
    <w:basedOn w:val="Normal"/>
    <w:link w:val="FooterChar"/>
    <w:uiPriority w:val="99"/>
    <w:unhideWhenUsed/>
    <w:rsid w:val="00E0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470"/>
    <w:pPr>
      <w:ind w:left="720"/>
      <w:contextualSpacing/>
    </w:pPr>
  </w:style>
  <w:style w:type="table" w:styleId="TableGrid">
    <w:name w:val="Table Grid"/>
    <w:basedOn w:val="TableNormal"/>
    <w:uiPriority w:val="39"/>
    <w:rsid w:val="00D5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52470"/>
    <w:rPr>
      <w:i/>
      <w:iCs/>
    </w:rPr>
  </w:style>
  <w:style w:type="character" w:styleId="Hyperlink">
    <w:name w:val="Hyperlink"/>
    <w:basedOn w:val="DefaultParagraphFont"/>
    <w:uiPriority w:val="99"/>
    <w:unhideWhenUsed/>
    <w:rsid w:val="00D52470"/>
    <w:rPr>
      <w:color w:val="0000FF"/>
      <w:u w:val="single"/>
    </w:rPr>
  </w:style>
  <w:style w:type="character" w:customStyle="1" w:styleId="UnresolvedMention">
    <w:name w:val="Unresolved Mention"/>
    <w:basedOn w:val="DefaultParagraphFont"/>
    <w:uiPriority w:val="99"/>
    <w:semiHidden/>
    <w:unhideWhenUsed/>
    <w:rsid w:val="008151B3"/>
    <w:rPr>
      <w:color w:val="605E5C"/>
      <w:shd w:val="clear" w:color="auto" w:fill="E1DFDD"/>
    </w:rPr>
  </w:style>
  <w:style w:type="paragraph" w:styleId="BalloonText">
    <w:name w:val="Balloon Text"/>
    <w:basedOn w:val="Normal"/>
    <w:link w:val="BalloonTextChar"/>
    <w:uiPriority w:val="99"/>
    <w:semiHidden/>
    <w:unhideWhenUsed/>
    <w:rsid w:val="000F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65"/>
    <w:rPr>
      <w:rFonts w:ascii="Tahoma" w:hAnsi="Tahoma" w:cs="Tahoma"/>
      <w:sz w:val="16"/>
      <w:szCs w:val="16"/>
    </w:rPr>
  </w:style>
  <w:style w:type="paragraph" w:styleId="Header">
    <w:name w:val="header"/>
    <w:basedOn w:val="Normal"/>
    <w:link w:val="HeaderChar"/>
    <w:uiPriority w:val="99"/>
    <w:unhideWhenUsed/>
    <w:rsid w:val="00E0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C3"/>
  </w:style>
  <w:style w:type="paragraph" w:styleId="Footer">
    <w:name w:val="footer"/>
    <w:basedOn w:val="Normal"/>
    <w:link w:val="FooterChar"/>
    <w:uiPriority w:val="99"/>
    <w:unhideWhenUsed/>
    <w:rsid w:val="00E0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161/HYPERTENSIONAHA.120.15026" TargetMode="External"/><Relationship Id="rId4" Type="http://schemas.microsoft.com/office/2007/relationships/stylesWithEffects" Target="stylesWithEffects.xml"/><Relationship Id="rId9" Type="http://schemas.openxmlformats.org/officeDocument/2006/relationships/hyperlink" Target="https://doi.org/10.1093/eurheartj/ehy3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D650-1FCF-47FE-A2B0-18B416FD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GRUPUL DE LUCRU DE HIPERTENSIUNE ARTERIALA</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GRUPUL DE LUCRU DE HIPERTENSIUNE ARTERIALA</dc:title>
  <dc:creator>madalina.e.badea@gmail.com</dc:creator>
  <cp:lastModifiedBy>Crisitan Balahura</cp:lastModifiedBy>
  <cp:revision>3</cp:revision>
  <dcterms:created xsi:type="dcterms:W3CDTF">2021-05-08T04:22:00Z</dcterms:created>
  <dcterms:modified xsi:type="dcterms:W3CDTF">2021-05-08T04:26:00Z</dcterms:modified>
</cp:coreProperties>
</file>